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44A5" w14:textId="1B8A247C" w:rsidR="0094202F" w:rsidRPr="006D7FB7" w:rsidRDefault="006545A1" w:rsidP="0094202F">
      <w:pPr>
        <w:jc w:val="center"/>
        <w:rPr>
          <w:rFonts w:ascii="Calibri" w:hAnsi="Calibri"/>
          <w:b/>
          <w:sz w:val="28"/>
          <w:szCs w:val="28"/>
        </w:rPr>
      </w:pPr>
      <w:r w:rsidRPr="006D7FB7">
        <w:rPr>
          <w:rFonts w:ascii="Calibri" w:hAnsi="Calibri"/>
          <w:b/>
          <w:sz w:val="28"/>
          <w:szCs w:val="28"/>
        </w:rPr>
        <w:t>U</w:t>
      </w:r>
      <w:r w:rsidR="0094202F" w:rsidRPr="006D7FB7">
        <w:rPr>
          <w:rFonts w:ascii="Calibri" w:hAnsi="Calibri"/>
          <w:b/>
          <w:sz w:val="28"/>
          <w:szCs w:val="28"/>
        </w:rPr>
        <w:t>niversal access to safe drinking water require</w:t>
      </w:r>
      <w:r w:rsidR="007D3B64" w:rsidRPr="006D7FB7">
        <w:rPr>
          <w:rFonts w:ascii="Calibri" w:hAnsi="Calibri"/>
          <w:b/>
          <w:sz w:val="28"/>
          <w:szCs w:val="28"/>
        </w:rPr>
        <w:t>s</w:t>
      </w:r>
      <w:r w:rsidR="0094202F" w:rsidRPr="006D7FB7">
        <w:rPr>
          <w:rFonts w:ascii="Calibri" w:hAnsi="Calibri"/>
          <w:b/>
          <w:sz w:val="28"/>
          <w:szCs w:val="28"/>
        </w:rPr>
        <w:t xml:space="preserve"> increased investment backed by strong government institutions </w:t>
      </w:r>
      <w:r w:rsidR="00BA7B73" w:rsidRPr="006D7FB7">
        <w:rPr>
          <w:rFonts w:ascii="Calibri" w:hAnsi="Calibri"/>
          <w:b/>
          <w:sz w:val="28"/>
          <w:szCs w:val="28"/>
        </w:rPr>
        <w:t>–</w:t>
      </w:r>
      <w:r w:rsidR="0094202F" w:rsidRPr="006D7FB7">
        <w:rPr>
          <w:rFonts w:ascii="Calibri" w:hAnsi="Calibri"/>
          <w:b/>
          <w:sz w:val="28"/>
          <w:szCs w:val="28"/>
        </w:rPr>
        <w:t xml:space="preserve"> WHO, UNICEF, World Bank</w:t>
      </w:r>
    </w:p>
    <w:p w14:paraId="22FE5AD0" w14:textId="77777777" w:rsidR="0094202F" w:rsidRPr="006D7FB7" w:rsidRDefault="0094202F" w:rsidP="0094202F">
      <w:pPr>
        <w:rPr>
          <w:rFonts w:ascii="Calibri" w:hAnsi="Calibri"/>
          <w:szCs w:val="22"/>
        </w:rPr>
      </w:pPr>
    </w:p>
    <w:p w14:paraId="12EEB47B" w14:textId="520E2C77" w:rsidR="0094202F" w:rsidRPr="006D7FB7" w:rsidRDefault="0094202F" w:rsidP="0094202F">
      <w:pPr>
        <w:rPr>
          <w:rFonts w:ascii="Calibri" w:hAnsi="Calibri"/>
          <w:szCs w:val="22"/>
        </w:rPr>
      </w:pPr>
      <w:r w:rsidRPr="006D7FB7">
        <w:rPr>
          <w:rFonts w:ascii="Calibri" w:hAnsi="Calibri"/>
          <w:b/>
          <w:szCs w:val="22"/>
        </w:rPr>
        <w:t>GENEVA/NEW YORK/WASHINGTON, 2</w:t>
      </w:r>
      <w:r w:rsidR="00004B83">
        <w:rPr>
          <w:rFonts w:ascii="Calibri" w:hAnsi="Calibri"/>
          <w:b/>
          <w:szCs w:val="22"/>
        </w:rPr>
        <w:t>8</w:t>
      </w:r>
      <w:r w:rsidRPr="006D7FB7">
        <w:rPr>
          <w:rFonts w:ascii="Calibri" w:hAnsi="Calibri"/>
          <w:b/>
          <w:szCs w:val="22"/>
        </w:rPr>
        <w:t xml:space="preserve"> OCTOBER 2022</w:t>
      </w:r>
      <w:r w:rsidRPr="006D7FB7">
        <w:rPr>
          <w:rFonts w:ascii="Calibri" w:hAnsi="Calibri"/>
          <w:szCs w:val="22"/>
        </w:rPr>
        <w:t xml:space="preserve"> - Governments must invest strategically in building safe drinking water systems by not only increasing funding, but also strengthening capacities to plan, coordinate, and regulate service provision, if the world is to achieve universal access to safe drinking water and mitigate the effects of climate change, say WHO, UNICEF, and the World Bank in a report released today. </w:t>
      </w:r>
    </w:p>
    <w:p w14:paraId="6A8EA122" w14:textId="77777777" w:rsidR="0094202F" w:rsidRPr="006D7FB7" w:rsidRDefault="0094202F" w:rsidP="0094202F">
      <w:pPr>
        <w:rPr>
          <w:rFonts w:ascii="Calibri" w:hAnsi="Calibri"/>
          <w:szCs w:val="22"/>
        </w:rPr>
      </w:pPr>
    </w:p>
    <w:p w14:paraId="7CC87601" w14:textId="73DF999C" w:rsidR="0094202F" w:rsidRPr="006D7FB7" w:rsidRDefault="0094202F" w:rsidP="0094202F">
      <w:pPr>
        <w:rPr>
          <w:rFonts w:ascii="Calibri" w:hAnsi="Calibri"/>
          <w:szCs w:val="22"/>
        </w:rPr>
      </w:pPr>
      <w:r w:rsidRPr="006D7FB7">
        <w:rPr>
          <w:rFonts w:ascii="Calibri" w:hAnsi="Calibri"/>
          <w:szCs w:val="22"/>
        </w:rPr>
        <w:t xml:space="preserve">The </w:t>
      </w:r>
      <w:r w:rsidRPr="006D7FB7">
        <w:rPr>
          <w:rFonts w:ascii="Calibri" w:hAnsi="Calibri"/>
          <w:i/>
          <w:szCs w:val="22"/>
        </w:rPr>
        <w:t xml:space="preserve">State of the World’s Drinking Water </w:t>
      </w:r>
      <w:r w:rsidRPr="006D7FB7">
        <w:rPr>
          <w:rFonts w:ascii="Calibri" w:hAnsi="Calibri"/>
          <w:szCs w:val="22"/>
        </w:rPr>
        <w:t xml:space="preserve">report notes that over 2 billion people have gained access to safe drinking water in the past two decades.  This progress, while positive, is fragile and inequitable with one-quarter of the world’s population left behind.  Climate change is increasing the frequency and intensity of droughts and floods, which exacerbate water insecurity, disrupt </w:t>
      </w:r>
      <w:proofErr w:type="gramStart"/>
      <w:r w:rsidRPr="006D7FB7">
        <w:rPr>
          <w:rFonts w:ascii="Calibri" w:hAnsi="Calibri"/>
          <w:szCs w:val="22"/>
        </w:rPr>
        <w:t>supplies</w:t>
      </w:r>
      <w:proofErr w:type="gramEnd"/>
      <w:r w:rsidRPr="006D7FB7">
        <w:rPr>
          <w:rFonts w:ascii="Calibri" w:hAnsi="Calibri"/>
          <w:szCs w:val="22"/>
        </w:rPr>
        <w:t xml:space="preserve"> and devastate communities.  Meanwhile rapid urbanization is increasing the strain on cities’ capacity to deliver water to the millions of people living in in-formal communities and slums.</w:t>
      </w:r>
    </w:p>
    <w:p w14:paraId="316410B5" w14:textId="77777777" w:rsidR="0094202F" w:rsidRPr="006D7FB7" w:rsidRDefault="0094202F" w:rsidP="0094202F">
      <w:pPr>
        <w:rPr>
          <w:rFonts w:ascii="Calibri" w:hAnsi="Calibri"/>
          <w:szCs w:val="22"/>
        </w:rPr>
      </w:pPr>
    </w:p>
    <w:p w14:paraId="66E1AB78" w14:textId="19F9BD8B" w:rsidR="0094202F" w:rsidRPr="006D7FB7" w:rsidRDefault="0094202F" w:rsidP="0094202F">
      <w:pPr>
        <w:rPr>
          <w:rFonts w:ascii="Calibri" w:hAnsi="Calibri"/>
          <w:szCs w:val="22"/>
        </w:rPr>
      </w:pPr>
      <w:r w:rsidRPr="006D7FB7">
        <w:rPr>
          <w:rFonts w:ascii="Calibri" w:hAnsi="Calibri"/>
          <w:szCs w:val="22"/>
        </w:rPr>
        <w:t xml:space="preserve">“Providing greater access to safe drinking water has saved many lives, most of them children. But climate change is eating into those achievements,” said Dr Maria Neira, WHO Director, Department of Environment, Climate Change and Health. “We have to accelerate our efforts to ensure every </w:t>
      </w:r>
      <w:r w:rsidR="00D33FC8" w:rsidRPr="006D7FB7">
        <w:rPr>
          <w:rFonts w:ascii="Calibri" w:hAnsi="Calibri"/>
          <w:szCs w:val="22"/>
        </w:rPr>
        <w:t xml:space="preserve">person </w:t>
      </w:r>
      <w:r w:rsidRPr="006D7FB7">
        <w:rPr>
          <w:rFonts w:ascii="Calibri" w:hAnsi="Calibri"/>
          <w:szCs w:val="22"/>
        </w:rPr>
        <w:t xml:space="preserve">has reliable access to safe drinking water something that is </w:t>
      </w:r>
      <w:r w:rsidR="00953717" w:rsidRPr="006D7FB7">
        <w:rPr>
          <w:rFonts w:ascii="Calibri" w:hAnsi="Calibri"/>
          <w:szCs w:val="22"/>
        </w:rPr>
        <w:t xml:space="preserve">a </w:t>
      </w:r>
      <w:r w:rsidR="00D33FC8" w:rsidRPr="006D7FB7">
        <w:rPr>
          <w:rFonts w:ascii="Calibri" w:hAnsi="Calibri"/>
          <w:szCs w:val="22"/>
        </w:rPr>
        <w:t xml:space="preserve">human </w:t>
      </w:r>
      <w:r w:rsidRPr="006D7FB7">
        <w:rPr>
          <w:rFonts w:ascii="Calibri" w:hAnsi="Calibri"/>
          <w:szCs w:val="22"/>
        </w:rPr>
        <w:t xml:space="preserve">right, not a luxury.” </w:t>
      </w:r>
    </w:p>
    <w:p w14:paraId="7A7C11E0" w14:textId="77777777" w:rsidR="0094202F" w:rsidRPr="006D7FB7" w:rsidRDefault="0094202F" w:rsidP="0094202F">
      <w:pPr>
        <w:rPr>
          <w:rFonts w:ascii="Calibri" w:hAnsi="Calibri"/>
          <w:szCs w:val="22"/>
        </w:rPr>
      </w:pPr>
    </w:p>
    <w:p w14:paraId="04C6C52D" w14:textId="4546562B" w:rsidR="0094202F" w:rsidRPr="006D7FB7" w:rsidRDefault="0094202F" w:rsidP="0094202F">
      <w:pPr>
        <w:rPr>
          <w:rFonts w:ascii="Calibri" w:hAnsi="Calibri"/>
          <w:szCs w:val="22"/>
        </w:rPr>
      </w:pPr>
      <w:r w:rsidRPr="006D7FB7">
        <w:rPr>
          <w:rFonts w:ascii="Calibri" w:hAnsi="Calibri"/>
          <w:szCs w:val="22"/>
        </w:rPr>
        <w:t xml:space="preserve">The report provides a comprehensive review of the links between water, health, and development, with actionable recommendations for governments and partners, illustrated by examples of how countries are contributing to the </w:t>
      </w:r>
      <w:r w:rsidR="00D33FC8" w:rsidRPr="006D7FB7">
        <w:rPr>
          <w:rFonts w:ascii="Calibri" w:hAnsi="Calibri"/>
          <w:szCs w:val="22"/>
        </w:rPr>
        <w:t xml:space="preserve">attainment of the </w:t>
      </w:r>
      <w:r w:rsidRPr="006D7FB7">
        <w:rPr>
          <w:rFonts w:ascii="Calibri" w:hAnsi="Calibri"/>
          <w:szCs w:val="22"/>
        </w:rPr>
        <w:t>Sustainable Development Goal (SDG) target of reaching safely managed drinking water for all by 2030.</w:t>
      </w:r>
    </w:p>
    <w:p w14:paraId="5886FA21" w14:textId="77777777" w:rsidR="0094202F" w:rsidRPr="006D7FB7" w:rsidRDefault="0094202F" w:rsidP="0094202F">
      <w:pPr>
        <w:rPr>
          <w:rFonts w:ascii="Calibri" w:hAnsi="Calibri"/>
          <w:szCs w:val="22"/>
        </w:rPr>
      </w:pPr>
    </w:p>
    <w:p w14:paraId="6C24266B" w14:textId="3BA09441" w:rsidR="000736BA" w:rsidRPr="006D7FB7" w:rsidRDefault="000736BA" w:rsidP="000736BA">
      <w:pPr>
        <w:rPr>
          <w:rFonts w:ascii="Calibri" w:hAnsi="Calibri"/>
          <w:szCs w:val="22"/>
        </w:rPr>
      </w:pPr>
      <w:r w:rsidRPr="006D7FB7">
        <w:rPr>
          <w:rFonts w:ascii="Calibri" w:hAnsi="Calibri"/>
          <w:szCs w:val="22"/>
        </w:rPr>
        <w:t xml:space="preserve"> “Investing in </w:t>
      </w:r>
      <w:r w:rsidR="00D33FC8" w:rsidRPr="006D7FB7">
        <w:rPr>
          <w:rFonts w:ascii="Calibri" w:hAnsi="Calibri"/>
          <w:szCs w:val="22"/>
        </w:rPr>
        <w:t>w</w:t>
      </w:r>
      <w:r w:rsidRPr="006D7FB7">
        <w:rPr>
          <w:rFonts w:ascii="Calibri" w:hAnsi="Calibri"/>
          <w:szCs w:val="22"/>
        </w:rPr>
        <w:t xml:space="preserve">ater and </w:t>
      </w:r>
      <w:r w:rsidR="00D33FC8" w:rsidRPr="006D7FB7">
        <w:rPr>
          <w:rFonts w:ascii="Calibri" w:hAnsi="Calibri"/>
          <w:szCs w:val="22"/>
        </w:rPr>
        <w:t>s</w:t>
      </w:r>
      <w:r w:rsidRPr="006D7FB7">
        <w:rPr>
          <w:rFonts w:ascii="Calibri" w:hAnsi="Calibri"/>
          <w:szCs w:val="22"/>
        </w:rPr>
        <w:t>anitation is critical to health, economic growth and the environment. Healthier children become healthier adults who then contribute more to the economy and society</w:t>
      </w:r>
      <w:r w:rsidR="0094378D" w:rsidRPr="006D7FB7">
        <w:rPr>
          <w:rFonts w:ascii="Calibri" w:hAnsi="Calibri"/>
          <w:szCs w:val="22"/>
        </w:rPr>
        <w:t xml:space="preserve">”, said </w:t>
      </w:r>
      <w:r w:rsidR="004D3DDF" w:rsidRPr="006D7FB7">
        <w:rPr>
          <w:rFonts w:ascii="Calibri" w:hAnsi="Calibri"/>
          <w:szCs w:val="22"/>
        </w:rPr>
        <w:t xml:space="preserve">Saroj Kumar Jha, Director, </w:t>
      </w:r>
      <w:r w:rsidR="009876F0" w:rsidRPr="006D7FB7">
        <w:rPr>
          <w:rFonts w:ascii="Calibri" w:hAnsi="Calibri" w:cstheme="minorHAnsi"/>
          <w:color w:val="202124"/>
          <w:szCs w:val="22"/>
          <w:shd w:val="clear" w:color="auto" w:fill="FFFFFF"/>
        </w:rPr>
        <w:t>Global Director</w:t>
      </w:r>
      <w:r w:rsidR="00253166" w:rsidRPr="006D7FB7">
        <w:rPr>
          <w:rFonts w:ascii="Calibri" w:hAnsi="Calibri" w:cstheme="minorHAnsi"/>
          <w:color w:val="202124"/>
          <w:szCs w:val="22"/>
          <w:shd w:val="clear" w:color="auto" w:fill="FFFFFF"/>
        </w:rPr>
        <w:t xml:space="preserve">, </w:t>
      </w:r>
      <w:r w:rsidR="009876F0" w:rsidRPr="006D7FB7">
        <w:rPr>
          <w:rFonts w:ascii="Calibri" w:hAnsi="Calibri" w:cstheme="minorHAnsi"/>
          <w:color w:val="202124"/>
          <w:szCs w:val="22"/>
          <w:shd w:val="clear" w:color="auto" w:fill="FFFFFF"/>
        </w:rPr>
        <w:t>World Bank Group's Water Global Practice.</w:t>
      </w:r>
      <w:r w:rsidR="0094378D" w:rsidRPr="006D7FB7">
        <w:rPr>
          <w:rFonts w:ascii="Calibri" w:hAnsi="Calibri" w:cstheme="minorHAnsi"/>
          <w:szCs w:val="22"/>
        </w:rPr>
        <w:t xml:space="preserve"> </w:t>
      </w:r>
      <w:r w:rsidR="001F22FD" w:rsidRPr="006D7FB7">
        <w:rPr>
          <w:rFonts w:ascii="Calibri" w:hAnsi="Calibri" w:cstheme="minorHAnsi"/>
          <w:szCs w:val="22"/>
        </w:rPr>
        <w:t>“</w:t>
      </w:r>
      <w:r w:rsidRPr="006D7FB7">
        <w:rPr>
          <w:rFonts w:ascii="Calibri" w:hAnsi="Calibri" w:cstheme="minorHAnsi"/>
          <w:szCs w:val="22"/>
        </w:rPr>
        <w:t>This principle is at the co</w:t>
      </w:r>
      <w:r w:rsidRPr="006D7FB7">
        <w:rPr>
          <w:rFonts w:ascii="Calibri" w:hAnsi="Calibri"/>
          <w:szCs w:val="22"/>
        </w:rPr>
        <w:t xml:space="preserve">re of the World Bank’s Human Capital Project. Governments and private sector must take critical action now to accelerate inclusive and sustainable water supply and sanitation services in both urban and rural areas.” </w:t>
      </w:r>
    </w:p>
    <w:p w14:paraId="41E2C8B0" w14:textId="77777777" w:rsidR="000736BA" w:rsidRPr="006D7FB7" w:rsidRDefault="000736BA" w:rsidP="000736BA">
      <w:pPr>
        <w:rPr>
          <w:rFonts w:ascii="Calibri" w:hAnsi="Calibri"/>
          <w:szCs w:val="22"/>
        </w:rPr>
      </w:pPr>
    </w:p>
    <w:p w14:paraId="10746FE1" w14:textId="08820F07" w:rsidR="00CC2E17" w:rsidRPr="006D7FB7" w:rsidRDefault="0094202F" w:rsidP="0094202F">
      <w:pPr>
        <w:rPr>
          <w:rFonts w:ascii="Calibri" w:hAnsi="Calibri"/>
          <w:szCs w:val="22"/>
        </w:rPr>
      </w:pPr>
      <w:r w:rsidRPr="006D7FB7">
        <w:rPr>
          <w:rFonts w:ascii="Calibri" w:hAnsi="Calibri"/>
          <w:szCs w:val="22"/>
        </w:rPr>
        <w:t xml:space="preserve">To provide universal access to safe drinking water by 2030, governments and partners must dramatically increase political commitment to drinking water and quadruple investments.  The report provides comprehensive recommendations to enact sustainable improvements that addresses infrastructure, governance, finance, capacity development, data and information, and innovation, even with limited budgets.  </w:t>
      </w:r>
    </w:p>
    <w:p w14:paraId="10FE57FC" w14:textId="77777777" w:rsidR="00CC2E17" w:rsidRPr="006D7FB7" w:rsidRDefault="00CC2E17" w:rsidP="0094202F">
      <w:pPr>
        <w:rPr>
          <w:rFonts w:ascii="Calibri" w:hAnsi="Calibri"/>
          <w:szCs w:val="22"/>
        </w:rPr>
      </w:pPr>
    </w:p>
    <w:p w14:paraId="28803533" w14:textId="5DF4BCDD" w:rsidR="0094202F" w:rsidRPr="006D7FB7" w:rsidRDefault="0094202F" w:rsidP="0094202F">
      <w:pPr>
        <w:rPr>
          <w:rFonts w:ascii="Calibri" w:hAnsi="Calibri"/>
          <w:szCs w:val="22"/>
        </w:rPr>
      </w:pPr>
      <w:r w:rsidRPr="006D7FB7">
        <w:rPr>
          <w:rFonts w:ascii="Calibri" w:hAnsi="Calibri"/>
          <w:szCs w:val="22"/>
        </w:rPr>
        <w:t xml:space="preserve">Overarching recommendations include:  </w:t>
      </w:r>
    </w:p>
    <w:p w14:paraId="5985ACEF" w14:textId="77777777" w:rsidR="0094202F" w:rsidRPr="006D7FB7" w:rsidRDefault="0094202F" w:rsidP="0094202F">
      <w:pPr>
        <w:rPr>
          <w:rFonts w:ascii="Calibri" w:hAnsi="Calibri"/>
          <w:szCs w:val="22"/>
        </w:rPr>
      </w:pPr>
    </w:p>
    <w:p w14:paraId="78482AA2" w14:textId="00874707" w:rsidR="0094202F" w:rsidRPr="006D7FB7" w:rsidRDefault="0094202F" w:rsidP="0094202F">
      <w:pPr>
        <w:pStyle w:val="ListParagraph"/>
        <w:numPr>
          <w:ilvl w:val="0"/>
          <w:numId w:val="1"/>
        </w:numPr>
        <w:rPr>
          <w:rFonts w:ascii="Calibri" w:hAnsi="Calibri"/>
          <w:szCs w:val="22"/>
        </w:rPr>
      </w:pPr>
      <w:r w:rsidRPr="006D7FB7">
        <w:rPr>
          <w:rFonts w:ascii="Calibri" w:hAnsi="Calibri"/>
          <w:b/>
          <w:szCs w:val="22"/>
        </w:rPr>
        <w:t>Strengthen existing institutions</w:t>
      </w:r>
      <w:r w:rsidRPr="006D7FB7">
        <w:rPr>
          <w:rFonts w:ascii="Calibri" w:hAnsi="Calibri"/>
          <w:szCs w:val="22"/>
        </w:rPr>
        <w:t xml:space="preserve"> by filling gaps, facilitating coordination, establishing a regulatory environment supported by legislation and standards for service quality, and ensuring enforcement.</w:t>
      </w:r>
    </w:p>
    <w:p w14:paraId="03987294" w14:textId="77777777" w:rsidR="0094202F" w:rsidRPr="006D7FB7" w:rsidRDefault="0094202F" w:rsidP="0094202F">
      <w:pPr>
        <w:pStyle w:val="ListParagraph"/>
        <w:numPr>
          <w:ilvl w:val="0"/>
          <w:numId w:val="1"/>
        </w:numPr>
        <w:rPr>
          <w:rFonts w:ascii="Calibri" w:hAnsi="Calibri"/>
          <w:szCs w:val="22"/>
        </w:rPr>
      </w:pPr>
      <w:r w:rsidRPr="006D7FB7">
        <w:rPr>
          <w:rFonts w:ascii="Calibri" w:hAnsi="Calibri"/>
          <w:b/>
          <w:szCs w:val="22"/>
        </w:rPr>
        <w:t>Increase funding from all sources dramatically</w:t>
      </w:r>
      <w:r w:rsidRPr="006D7FB7">
        <w:rPr>
          <w:rFonts w:ascii="Calibri" w:hAnsi="Calibri"/>
          <w:szCs w:val="22"/>
        </w:rPr>
        <w:t>, with water service providers improving efficiency and performance, and governments providing a stable and transparent administrative, regulatory and policy environment.</w:t>
      </w:r>
    </w:p>
    <w:p w14:paraId="0A7056A2" w14:textId="77777777" w:rsidR="0094202F" w:rsidRPr="006D7FB7" w:rsidRDefault="0094202F" w:rsidP="0094202F">
      <w:pPr>
        <w:pStyle w:val="ListParagraph"/>
        <w:numPr>
          <w:ilvl w:val="0"/>
          <w:numId w:val="1"/>
        </w:numPr>
        <w:rPr>
          <w:rFonts w:ascii="Calibri" w:hAnsi="Calibri"/>
          <w:szCs w:val="22"/>
        </w:rPr>
      </w:pPr>
      <w:r w:rsidRPr="006D7FB7">
        <w:rPr>
          <w:rFonts w:ascii="Calibri" w:hAnsi="Calibri"/>
          <w:b/>
          <w:szCs w:val="22"/>
        </w:rPr>
        <w:t>Build capacity within the water sector</w:t>
      </w:r>
      <w:r w:rsidRPr="006D7FB7">
        <w:rPr>
          <w:rFonts w:ascii="Calibri" w:hAnsi="Calibri"/>
          <w:szCs w:val="22"/>
        </w:rPr>
        <w:t xml:space="preserve"> by developing a capable and motivated workforce through a range of capacity-development approaches based on innovation and collaboration.</w:t>
      </w:r>
    </w:p>
    <w:p w14:paraId="12B8478A" w14:textId="77777777" w:rsidR="0094202F" w:rsidRPr="006D7FB7" w:rsidRDefault="0094202F" w:rsidP="0094202F">
      <w:pPr>
        <w:pStyle w:val="ListParagraph"/>
        <w:numPr>
          <w:ilvl w:val="0"/>
          <w:numId w:val="1"/>
        </w:numPr>
        <w:rPr>
          <w:rFonts w:ascii="Calibri" w:hAnsi="Calibri"/>
          <w:szCs w:val="22"/>
        </w:rPr>
      </w:pPr>
      <w:r w:rsidRPr="006D7FB7">
        <w:rPr>
          <w:rFonts w:ascii="Calibri" w:hAnsi="Calibri"/>
          <w:b/>
          <w:szCs w:val="22"/>
        </w:rPr>
        <w:lastRenderedPageBreak/>
        <w:t>Ensure relevant data and information are available</w:t>
      </w:r>
      <w:r w:rsidRPr="006D7FB7">
        <w:rPr>
          <w:rFonts w:ascii="Calibri" w:hAnsi="Calibri"/>
          <w:szCs w:val="22"/>
        </w:rPr>
        <w:t xml:space="preserve"> to better understand inequalities in drinking water services and make evidence-based decisions.</w:t>
      </w:r>
    </w:p>
    <w:p w14:paraId="429D45EF" w14:textId="77777777" w:rsidR="0094202F" w:rsidRPr="006D7FB7" w:rsidRDefault="0094202F" w:rsidP="0094202F">
      <w:pPr>
        <w:pStyle w:val="ListParagraph"/>
        <w:numPr>
          <w:ilvl w:val="0"/>
          <w:numId w:val="1"/>
        </w:numPr>
        <w:rPr>
          <w:rFonts w:ascii="Calibri" w:hAnsi="Calibri"/>
          <w:szCs w:val="22"/>
        </w:rPr>
      </w:pPr>
      <w:r w:rsidRPr="006D7FB7">
        <w:rPr>
          <w:rFonts w:ascii="Calibri" w:hAnsi="Calibri"/>
          <w:b/>
          <w:szCs w:val="22"/>
        </w:rPr>
        <w:t>Encourage innovation and experimentation</w:t>
      </w:r>
      <w:r w:rsidRPr="006D7FB7">
        <w:rPr>
          <w:rFonts w:ascii="Calibri" w:hAnsi="Calibri"/>
          <w:szCs w:val="22"/>
        </w:rPr>
        <w:t xml:space="preserve"> through supportive government policy and regulation, accompanied by rigorous monitoring and evaluation.</w:t>
      </w:r>
    </w:p>
    <w:p w14:paraId="2690C2A2" w14:textId="77777777" w:rsidR="0094202F" w:rsidRPr="006D7FB7" w:rsidRDefault="0094202F" w:rsidP="0094202F">
      <w:pPr>
        <w:rPr>
          <w:rFonts w:ascii="Calibri" w:hAnsi="Calibri"/>
          <w:szCs w:val="22"/>
        </w:rPr>
      </w:pPr>
    </w:p>
    <w:p w14:paraId="1A878E68" w14:textId="530A3A3A" w:rsidR="0094202F" w:rsidRPr="006D7FB7" w:rsidRDefault="0094202F" w:rsidP="0094202F">
      <w:pPr>
        <w:rPr>
          <w:rFonts w:ascii="Calibri" w:hAnsi="Calibri"/>
          <w:szCs w:val="22"/>
        </w:rPr>
      </w:pPr>
      <w:r w:rsidRPr="006D7FB7">
        <w:rPr>
          <w:rFonts w:ascii="Calibri" w:hAnsi="Calibri"/>
          <w:szCs w:val="22"/>
        </w:rPr>
        <w:t>“No child should be faced with the choice of drinking dirty water – a leading killer of children – or making dangerous journeys to collect water and missing out on school,” said Aidan Cronin, UNICEF Interim Director of Water, Sanitation, and Hygiene (WASH) and Climate, Environment, Energy, and Disaster Risk Reduction (CEED). “Accessible and reliable safe drinking water is fundamental to ensuring children are healthy, educated, and thriving.”</w:t>
      </w:r>
    </w:p>
    <w:p w14:paraId="4A68A633" w14:textId="2BBCD848" w:rsidR="006D7FB7" w:rsidRPr="006D7FB7" w:rsidRDefault="006D7FB7" w:rsidP="0094202F">
      <w:pPr>
        <w:rPr>
          <w:rFonts w:ascii="Calibri" w:hAnsi="Calibri"/>
          <w:szCs w:val="22"/>
        </w:rPr>
      </w:pPr>
    </w:p>
    <w:p w14:paraId="06C20F43" w14:textId="5DD02D4B" w:rsidR="006D7FB7" w:rsidRPr="006D7FB7" w:rsidRDefault="006D7FB7" w:rsidP="0094202F">
      <w:pPr>
        <w:rPr>
          <w:rFonts w:ascii="Calibri" w:hAnsi="Calibri"/>
          <w:szCs w:val="22"/>
        </w:rPr>
      </w:pPr>
    </w:p>
    <w:p w14:paraId="166679AE" w14:textId="6194C92E" w:rsidR="006D7FB7" w:rsidRPr="006D7FB7" w:rsidRDefault="006D7FB7" w:rsidP="0094202F">
      <w:pPr>
        <w:rPr>
          <w:rFonts w:ascii="Calibri" w:hAnsi="Calibri"/>
          <w:b/>
          <w:bCs/>
          <w:szCs w:val="22"/>
        </w:rPr>
      </w:pPr>
      <w:r w:rsidRPr="006D7FB7">
        <w:rPr>
          <w:rFonts w:ascii="Calibri" w:hAnsi="Calibri"/>
          <w:b/>
          <w:bCs/>
          <w:szCs w:val="22"/>
        </w:rPr>
        <w:t xml:space="preserve"> Armenia:</w:t>
      </w:r>
    </w:p>
    <w:p w14:paraId="1F7A7F10" w14:textId="27121A4E" w:rsidR="006D7FB7" w:rsidRDefault="006D7FB7" w:rsidP="006D7FB7">
      <w:pPr>
        <w:pStyle w:val="Default"/>
        <w:rPr>
          <w:sz w:val="22"/>
          <w:szCs w:val="22"/>
        </w:rPr>
      </w:pPr>
      <w:r>
        <w:rPr>
          <w:sz w:val="22"/>
          <w:szCs w:val="22"/>
        </w:rPr>
        <w:t>A</w:t>
      </w:r>
      <w:r w:rsidRPr="006D7FB7">
        <w:rPr>
          <w:sz w:val="22"/>
          <w:szCs w:val="22"/>
        </w:rPr>
        <w:t>ccording to the Education Management Information System</w:t>
      </w:r>
      <w:r w:rsidR="00C44120">
        <w:rPr>
          <w:sz w:val="22"/>
          <w:szCs w:val="22"/>
        </w:rPr>
        <w:t xml:space="preserve"> in 2021-2022 academic year</w:t>
      </w:r>
      <w:r w:rsidRPr="006D7FB7">
        <w:rPr>
          <w:sz w:val="22"/>
          <w:szCs w:val="22"/>
        </w:rPr>
        <w:t>, over 4000 school-students (1%) and 600 teachers (1.6%) in 70 schools (5%) don’t have access to water (both drinking/portable or for handwashing) and almost 3600 school-students (0.9%) and 500 teachers (1.3%) in at least 50 schools neither have access to sanitation nor water</w:t>
      </w:r>
      <w:r>
        <w:rPr>
          <w:sz w:val="22"/>
          <w:szCs w:val="22"/>
        </w:rPr>
        <w:t xml:space="preserve"> across Armenia.</w:t>
      </w:r>
    </w:p>
    <w:p w14:paraId="1ADB6712" w14:textId="77777777" w:rsidR="006D7FB7" w:rsidRPr="006D7FB7" w:rsidRDefault="006D7FB7" w:rsidP="006D7FB7">
      <w:pPr>
        <w:pStyle w:val="Default"/>
        <w:rPr>
          <w:sz w:val="22"/>
          <w:szCs w:val="22"/>
        </w:rPr>
      </w:pPr>
    </w:p>
    <w:p w14:paraId="46E217CF" w14:textId="464E9CF0" w:rsidR="006D7FB7" w:rsidRPr="006D7FB7" w:rsidRDefault="006D7FB7" w:rsidP="006D7FB7">
      <w:pPr>
        <w:pStyle w:val="Default"/>
        <w:rPr>
          <w:sz w:val="22"/>
          <w:szCs w:val="22"/>
        </w:rPr>
      </w:pPr>
      <w:r w:rsidRPr="006D7FB7">
        <w:rPr>
          <w:sz w:val="22"/>
          <w:szCs w:val="22"/>
        </w:rPr>
        <w:t xml:space="preserve">In </w:t>
      </w:r>
      <w:r w:rsidR="00C44120">
        <w:rPr>
          <w:rFonts w:ascii="Sylfaen" w:hAnsi="Sylfaen"/>
          <w:sz w:val="22"/>
          <w:szCs w:val="22"/>
        </w:rPr>
        <w:t>September</w:t>
      </w:r>
      <w:r w:rsidRPr="006D7FB7">
        <w:rPr>
          <w:sz w:val="22"/>
          <w:szCs w:val="22"/>
        </w:rPr>
        <w:t xml:space="preserve"> 2022, UNICEF initiated </w:t>
      </w:r>
      <w:r>
        <w:rPr>
          <w:sz w:val="22"/>
          <w:szCs w:val="22"/>
        </w:rPr>
        <w:t xml:space="preserve">an </w:t>
      </w:r>
      <w:r w:rsidRPr="006D7FB7">
        <w:rPr>
          <w:sz w:val="22"/>
          <w:szCs w:val="22"/>
        </w:rPr>
        <w:t>assessment of the situation of water, sanitation and hygiene facilities in the public pre-primary and general educational institutions of Armenia. Based on the desk-review and the generated evidence, together with partners, UNICEF will identify solutions for filling in the existing gaps tailored to different school</w:t>
      </w:r>
      <w:r w:rsidR="00C44120">
        <w:rPr>
          <w:sz w:val="22"/>
          <w:szCs w:val="22"/>
        </w:rPr>
        <w:t xml:space="preserve"> and pre-school</w:t>
      </w:r>
      <w:r w:rsidRPr="006D7FB7">
        <w:rPr>
          <w:sz w:val="22"/>
          <w:szCs w:val="22"/>
        </w:rPr>
        <w:t xml:space="preserve"> environments, including professional </w:t>
      </w:r>
      <w:proofErr w:type="gramStart"/>
      <w:r w:rsidRPr="006D7FB7">
        <w:rPr>
          <w:sz w:val="22"/>
          <w:szCs w:val="22"/>
        </w:rPr>
        <w:t>design</w:t>
      </w:r>
      <w:proofErr w:type="gramEnd"/>
      <w:r w:rsidRPr="006D7FB7">
        <w:rPr>
          <w:sz w:val="22"/>
          <w:szCs w:val="22"/>
        </w:rPr>
        <w:t xml:space="preserve"> and costing of WASH facility models and recommendations for upgrading national standards and plans.</w:t>
      </w:r>
    </w:p>
    <w:p w14:paraId="68DC7F5E" w14:textId="77777777" w:rsidR="006D7FB7" w:rsidRPr="006D7FB7" w:rsidRDefault="006D7FB7" w:rsidP="0094202F">
      <w:pPr>
        <w:rPr>
          <w:rFonts w:ascii="Calibri" w:hAnsi="Calibri"/>
          <w:szCs w:val="22"/>
        </w:rPr>
      </w:pPr>
    </w:p>
    <w:sectPr w:rsidR="006D7FB7" w:rsidRPr="006D7FB7" w:rsidSect="00AE49AF">
      <w:pgSz w:w="11907" w:h="16840" w:code="9"/>
      <w:pgMar w:top="1417" w:right="1417" w:bottom="1417" w:left="1417"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5F8"/>
    <w:multiLevelType w:val="hybridMultilevel"/>
    <w:tmpl w:val="68CE119A"/>
    <w:lvl w:ilvl="0" w:tplc="B25CEFBA">
      <w:numFmt w:val="bullet"/>
      <w:lvlText w:val="•"/>
      <w:lvlJc w:val="left"/>
      <w:pPr>
        <w:ind w:left="930" w:hanging="57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NTW2MLWwNDA1NbJU0lEKTi0uzszPAykwrAUA/5J4JywAAAA="/>
  </w:docVars>
  <w:rsids>
    <w:rsidRoot w:val="0094202F"/>
    <w:rsid w:val="00004B83"/>
    <w:rsid w:val="000173F6"/>
    <w:rsid w:val="000736BA"/>
    <w:rsid w:val="000C12FC"/>
    <w:rsid w:val="00111054"/>
    <w:rsid w:val="001561D8"/>
    <w:rsid w:val="001E08B9"/>
    <w:rsid w:val="001F22FD"/>
    <w:rsid w:val="001F3A1E"/>
    <w:rsid w:val="00222D3E"/>
    <w:rsid w:val="00253166"/>
    <w:rsid w:val="002927D6"/>
    <w:rsid w:val="002B53DD"/>
    <w:rsid w:val="003C75B6"/>
    <w:rsid w:val="004D3DDF"/>
    <w:rsid w:val="004D6C89"/>
    <w:rsid w:val="00591989"/>
    <w:rsid w:val="005E1EC6"/>
    <w:rsid w:val="006545A1"/>
    <w:rsid w:val="006B1B37"/>
    <w:rsid w:val="006B4AA4"/>
    <w:rsid w:val="006D7FB7"/>
    <w:rsid w:val="00705967"/>
    <w:rsid w:val="00741EA7"/>
    <w:rsid w:val="007D3B64"/>
    <w:rsid w:val="00855E43"/>
    <w:rsid w:val="008B2BA3"/>
    <w:rsid w:val="008F2701"/>
    <w:rsid w:val="00920426"/>
    <w:rsid w:val="0094202F"/>
    <w:rsid w:val="0094378D"/>
    <w:rsid w:val="0095076C"/>
    <w:rsid w:val="00953717"/>
    <w:rsid w:val="009876F0"/>
    <w:rsid w:val="009A7F06"/>
    <w:rsid w:val="009B3A10"/>
    <w:rsid w:val="00A46040"/>
    <w:rsid w:val="00AD0250"/>
    <w:rsid w:val="00B336A7"/>
    <w:rsid w:val="00B417D6"/>
    <w:rsid w:val="00BA7B73"/>
    <w:rsid w:val="00BE27DD"/>
    <w:rsid w:val="00C2161F"/>
    <w:rsid w:val="00C44120"/>
    <w:rsid w:val="00C508A8"/>
    <w:rsid w:val="00C83B55"/>
    <w:rsid w:val="00CC2E17"/>
    <w:rsid w:val="00CF04D3"/>
    <w:rsid w:val="00D33FC8"/>
    <w:rsid w:val="00D34264"/>
    <w:rsid w:val="00D462D7"/>
    <w:rsid w:val="00D81157"/>
    <w:rsid w:val="00D84146"/>
    <w:rsid w:val="00DA3CBB"/>
    <w:rsid w:val="00DB63E9"/>
    <w:rsid w:val="00DC7101"/>
    <w:rsid w:val="00E161CE"/>
    <w:rsid w:val="00EB199A"/>
    <w:rsid w:val="00F2742F"/>
    <w:rsid w:val="00F60BA6"/>
    <w:rsid w:val="00FE2A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4C1C"/>
  <w15:chartTrackingRefBased/>
  <w15:docId w15:val="{16E473D8-0A46-47CF-AB80-78749D15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2F"/>
    <w:pPr>
      <w:spacing w:after="0" w:line="240" w:lineRule="auto"/>
    </w:pPr>
    <w:rPr>
      <w:rFonts w:ascii="Arial" w:eastAsia="Times New Roma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02F"/>
    <w:rPr>
      <w:u w:val="single"/>
    </w:rPr>
  </w:style>
  <w:style w:type="paragraph" w:customStyle="1" w:styleId="BodyB">
    <w:name w:val="Body B"/>
    <w:rsid w:val="0094202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None">
    <w:name w:val="None"/>
    <w:rsid w:val="0094202F"/>
  </w:style>
  <w:style w:type="character" w:customStyle="1" w:styleId="Hyperlink2">
    <w:name w:val="Hyperlink.2"/>
    <w:basedOn w:val="None"/>
    <w:rsid w:val="0094202F"/>
    <w:rPr>
      <w:rFonts w:ascii="Times New Roman" w:eastAsia="Times New Roman" w:hAnsi="Times New Roman" w:cs="Times New Roman"/>
      <w:outline w:val="0"/>
      <w:color w:val="0000FF"/>
      <w:sz w:val="22"/>
      <w:szCs w:val="22"/>
      <w:u w:val="single" w:color="0000FF"/>
      <w:lang w:val="en-US"/>
    </w:rPr>
  </w:style>
  <w:style w:type="character" w:customStyle="1" w:styleId="Hyperlink3">
    <w:name w:val="Hyperlink.3"/>
    <w:basedOn w:val="None"/>
    <w:rsid w:val="0094202F"/>
    <w:rPr>
      <w:rFonts w:ascii="Times New Roman" w:eastAsia="Times New Roman" w:hAnsi="Times New Roman" w:cs="Times New Roman"/>
      <w:outline w:val="0"/>
      <w:color w:val="0000FF"/>
      <w:sz w:val="22"/>
      <w:szCs w:val="22"/>
      <w:u w:val="single" w:color="0000FF"/>
      <w:lang w:val="nl-NL"/>
    </w:rPr>
  </w:style>
  <w:style w:type="character" w:customStyle="1" w:styleId="Hyperlink4">
    <w:name w:val="Hyperlink.4"/>
    <w:basedOn w:val="None"/>
    <w:rsid w:val="0094202F"/>
    <w:rPr>
      <w:rFonts w:ascii="Times New Roman" w:eastAsia="Times New Roman" w:hAnsi="Times New Roman" w:cs="Times New Roman"/>
      <w:outline w:val="0"/>
      <w:color w:val="0000FF"/>
      <w:sz w:val="22"/>
      <w:szCs w:val="22"/>
      <w:u w:val="single" w:color="0000FF"/>
      <w:lang w:val="it-IT"/>
    </w:rPr>
  </w:style>
  <w:style w:type="character" w:customStyle="1" w:styleId="Hyperlink5">
    <w:name w:val="Hyperlink.5"/>
    <w:basedOn w:val="None"/>
    <w:rsid w:val="0094202F"/>
    <w:rPr>
      <w:rFonts w:ascii="Times New Roman" w:eastAsia="Times New Roman" w:hAnsi="Times New Roman" w:cs="Times New Roman"/>
      <w:outline w:val="0"/>
      <w:color w:val="0000FF"/>
      <w:sz w:val="22"/>
      <w:szCs w:val="22"/>
      <w:u w:val="single" w:color="0000FF"/>
    </w:rPr>
  </w:style>
  <w:style w:type="paragraph" w:styleId="ListParagraph">
    <w:name w:val="List Paragraph"/>
    <w:basedOn w:val="Normal"/>
    <w:uiPriority w:val="34"/>
    <w:qFormat/>
    <w:rsid w:val="0094202F"/>
    <w:pPr>
      <w:ind w:left="720"/>
      <w:contextualSpacing/>
    </w:pPr>
  </w:style>
  <w:style w:type="character" w:styleId="UnresolvedMention">
    <w:name w:val="Unresolved Mention"/>
    <w:basedOn w:val="DefaultParagraphFont"/>
    <w:uiPriority w:val="99"/>
    <w:semiHidden/>
    <w:unhideWhenUsed/>
    <w:rsid w:val="00D462D7"/>
    <w:rPr>
      <w:color w:val="605E5C"/>
      <w:shd w:val="clear" w:color="auto" w:fill="E1DFDD"/>
    </w:rPr>
  </w:style>
  <w:style w:type="character" w:styleId="CommentReference">
    <w:name w:val="annotation reference"/>
    <w:basedOn w:val="DefaultParagraphFont"/>
    <w:uiPriority w:val="99"/>
    <w:semiHidden/>
    <w:unhideWhenUsed/>
    <w:rsid w:val="001E08B9"/>
    <w:rPr>
      <w:sz w:val="16"/>
      <w:szCs w:val="16"/>
    </w:rPr>
  </w:style>
  <w:style w:type="paragraph" w:styleId="CommentText">
    <w:name w:val="annotation text"/>
    <w:basedOn w:val="Normal"/>
    <w:link w:val="CommentTextChar"/>
    <w:uiPriority w:val="99"/>
    <w:semiHidden/>
    <w:unhideWhenUsed/>
    <w:rsid w:val="001E08B9"/>
    <w:rPr>
      <w:sz w:val="20"/>
    </w:rPr>
  </w:style>
  <w:style w:type="character" w:customStyle="1" w:styleId="CommentTextChar">
    <w:name w:val="Comment Text Char"/>
    <w:basedOn w:val="DefaultParagraphFont"/>
    <w:link w:val="CommentText"/>
    <w:uiPriority w:val="99"/>
    <w:semiHidden/>
    <w:rsid w:val="001E08B9"/>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E08B9"/>
    <w:rPr>
      <w:b/>
      <w:bCs/>
    </w:rPr>
  </w:style>
  <w:style w:type="character" w:customStyle="1" w:styleId="CommentSubjectChar">
    <w:name w:val="Comment Subject Char"/>
    <w:basedOn w:val="CommentTextChar"/>
    <w:link w:val="CommentSubject"/>
    <w:uiPriority w:val="99"/>
    <w:semiHidden/>
    <w:rsid w:val="001E08B9"/>
    <w:rPr>
      <w:rFonts w:ascii="Arial" w:eastAsia="Times New Roman" w:hAnsi="Arial" w:cs="Arial"/>
      <w:b/>
      <w:bCs/>
      <w:sz w:val="20"/>
      <w:szCs w:val="20"/>
      <w:lang w:val="en-US"/>
    </w:rPr>
  </w:style>
  <w:style w:type="character" w:customStyle="1" w:styleId="normaltextrun">
    <w:name w:val="normaltextrun"/>
    <w:basedOn w:val="DefaultParagraphFont"/>
    <w:rsid w:val="00CF04D3"/>
  </w:style>
  <w:style w:type="character" w:customStyle="1" w:styleId="eop">
    <w:name w:val="eop"/>
    <w:basedOn w:val="DefaultParagraphFont"/>
    <w:rsid w:val="00CF04D3"/>
  </w:style>
  <w:style w:type="paragraph" w:customStyle="1" w:styleId="lpleadintrotext">
    <w:name w:val="lp__lead_introtext"/>
    <w:basedOn w:val="Normal"/>
    <w:rsid w:val="00D81157"/>
    <w:pPr>
      <w:spacing w:before="100" w:beforeAutospacing="1" w:after="100" w:afterAutospacing="1"/>
    </w:pPr>
    <w:rPr>
      <w:rFonts w:ascii="Calibri" w:eastAsiaTheme="minorHAnsi" w:hAnsi="Calibri" w:cs="Calibri"/>
      <w:szCs w:val="22"/>
    </w:rPr>
  </w:style>
  <w:style w:type="paragraph" w:customStyle="1" w:styleId="Default">
    <w:name w:val="Default"/>
    <w:rsid w:val="006D7FB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8918">
      <w:bodyDiv w:val="1"/>
      <w:marLeft w:val="0"/>
      <w:marRight w:val="0"/>
      <w:marTop w:val="0"/>
      <w:marBottom w:val="0"/>
      <w:divBdr>
        <w:top w:val="none" w:sz="0" w:space="0" w:color="auto"/>
        <w:left w:val="none" w:sz="0" w:space="0" w:color="auto"/>
        <w:bottom w:val="none" w:sz="0" w:space="0" w:color="auto"/>
        <w:right w:val="none" w:sz="0" w:space="0" w:color="auto"/>
      </w:divBdr>
    </w:div>
    <w:div w:id="9914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4458</Characters>
  <Application>Microsoft Office Word</Application>
  <DocSecurity>4</DocSecurity>
  <Lines>202</Lines>
  <Paragraphs>175</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Agnesa Topuzyan</cp:lastModifiedBy>
  <cp:revision>2</cp:revision>
  <dcterms:created xsi:type="dcterms:W3CDTF">2022-11-01T06:50:00Z</dcterms:created>
  <dcterms:modified xsi:type="dcterms:W3CDTF">2022-11-01T06:50:00Z</dcterms:modified>
</cp:coreProperties>
</file>