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6279" w14:textId="1A3F983F" w:rsidR="00BE0F05" w:rsidRPr="00834504" w:rsidRDefault="00834504" w:rsidP="00834504">
      <w:pPr>
        <w:rPr>
          <w:b/>
          <w:bCs/>
          <w:color w:val="0070C0"/>
          <w:sz w:val="56"/>
          <w:szCs w:val="56"/>
        </w:rPr>
      </w:pPr>
      <w:r w:rsidRPr="00834504">
        <w:rPr>
          <w:b/>
          <w:bCs/>
          <w:color w:val="0070C0"/>
          <w:sz w:val="56"/>
          <w:szCs w:val="56"/>
        </w:rPr>
        <w:t>PRESS RELEASE</w:t>
      </w:r>
    </w:p>
    <w:p w14:paraId="62F19BE0" w14:textId="3BE66AF4" w:rsidR="00BC5931" w:rsidRPr="00BC5931" w:rsidRDefault="00BC5931" w:rsidP="00BC5931">
      <w:pPr>
        <w:jc w:val="right"/>
        <w:rPr>
          <w:b/>
          <w:bCs/>
        </w:rPr>
      </w:pPr>
      <w:r w:rsidRPr="00BC5931">
        <w:rPr>
          <w:b/>
          <w:bCs/>
        </w:rPr>
        <w:t>01 November 2021</w:t>
      </w:r>
    </w:p>
    <w:p w14:paraId="5F96B153" w14:textId="7223D00E" w:rsidR="008F7417" w:rsidRPr="00834504" w:rsidRDefault="007804F0" w:rsidP="00834504">
      <w:pPr>
        <w:jc w:val="center"/>
        <w:rPr>
          <w:b/>
          <w:bCs/>
          <w:sz w:val="24"/>
          <w:szCs w:val="24"/>
        </w:rPr>
      </w:pPr>
      <w:r>
        <w:rPr>
          <w:b/>
          <w:bCs/>
          <w:sz w:val="40"/>
          <w:szCs w:val="40"/>
        </w:rPr>
        <w:t>Armenia</w:t>
      </w:r>
      <w:r w:rsidR="008F7417" w:rsidRPr="00834504">
        <w:rPr>
          <w:b/>
          <w:bCs/>
          <w:sz w:val="40"/>
          <w:szCs w:val="40"/>
        </w:rPr>
        <w:t xml:space="preserve"> Tobacco Control Investment Case</w:t>
      </w:r>
      <w:r w:rsidR="00834504" w:rsidRPr="00834504">
        <w:rPr>
          <w:b/>
          <w:bCs/>
          <w:sz w:val="40"/>
          <w:szCs w:val="40"/>
        </w:rPr>
        <w:br/>
      </w:r>
      <w:r w:rsidR="00834504" w:rsidRPr="00834504">
        <w:rPr>
          <w:b/>
          <w:bCs/>
          <w:sz w:val="24"/>
          <w:szCs w:val="24"/>
        </w:rPr>
        <w:t>New joint UN-MOH report calculated the costs tobacco places on the economy – and the benefits of acting now to reduce tobacco use</w:t>
      </w:r>
    </w:p>
    <w:p w14:paraId="53D26332" w14:textId="1D481A40" w:rsidR="00BE0F05" w:rsidRDefault="005278AC" w:rsidP="0094453C">
      <w:pPr>
        <w:jc w:val="both"/>
      </w:pPr>
      <w:bookmarkStart w:id="0" w:name="_KEY_FINDINGS"/>
      <w:bookmarkEnd w:id="0"/>
      <w:r>
        <w:t>“</w:t>
      </w:r>
      <w:r w:rsidR="00BE0F05">
        <w:t xml:space="preserve">Tobacco-related illnesses cost the </w:t>
      </w:r>
      <w:r w:rsidR="007804F0">
        <w:t>Armenia</w:t>
      </w:r>
      <w:r w:rsidR="00F36D3D">
        <w:t>n</w:t>
      </w:r>
      <w:r w:rsidR="007804F0">
        <w:t xml:space="preserve"> </w:t>
      </w:r>
      <w:r w:rsidR="00BE0F05">
        <w:t xml:space="preserve">economy </w:t>
      </w:r>
      <w:r w:rsidR="007804F0">
        <w:t>AMD 273.1 billion every year, equivalent to 4.2% of</w:t>
      </w:r>
      <w:r w:rsidR="00B214CA">
        <w:t xml:space="preserve"> </w:t>
      </w:r>
      <w:r w:rsidR="007804F0">
        <w:t>GDP</w:t>
      </w:r>
      <w:r w:rsidR="002126A3">
        <w:t xml:space="preserve"> each year</w:t>
      </w:r>
      <w:r w:rsidR="00BE0F05">
        <w:t xml:space="preserve">. </w:t>
      </w:r>
      <w:r w:rsidR="00F36D3D">
        <w:t>They are</w:t>
      </w:r>
      <w:r w:rsidR="007804F0">
        <w:t xml:space="preserve"> also responsible for approximately 5</w:t>
      </w:r>
      <w:r w:rsidR="00F36D3D">
        <w:t>,</w:t>
      </w:r>
      <w:r w:rsidR="007804F0">
        <w:t>500 deaths in Armenia</w:t>
      </w:r>
      <w:r w:rsidR="00BE0F05">
        <w:t xml:space="preserve"> annually</w:t>
      </w:r>
      <w:r w:rsidR="00B82B24">
        <w:t>,</w:t>
      </w:r>
      <w:r>
        <w:t>”</w:t>
      </w:r>
      <w:r w:rsidR="00B82B24">
        <w:t xml:space="preserve"> says the new report</w:t>
      </w:r>
      <w:r w:rsidR="007D14CD">
        <w:t xml:space="preserve"> jointly developed by the RA Ministry of Health, UNDP, the Secretariat of the Framework Convention on Tobacco Control and WHO</w:t>
      </w:r>
      <w:r w:rsidR="00297AE5">
        <w:t xml:space="preserve">, and </w:t>
      </w:r>
      <w:r w:rsidR="007D14CD">
        <w:t>funded by the Government of the United Kingdom</w:t>
      </w:r>
      <w:r w:rsidR="00297AE5">
        <w:t xml:space="preserve">. </w:t>
      </w:r>
    </w:p>
    <w:p w14:paraId="00A29B89" w14:textId="3BDE4867" w:rsidR="00310CCA" w:rsidRDefault="001D1D56" w:rsidP="0094453C">
      <w:pPr>
        <w:spacing w:after="0" w:line="240" w:lineRule="auto"/>
        <w:jc w:val="both"/>
        <w:rPr>
          <w:rFonts w:eastAsia="Times New Roman"/>
          <w:lang w:val="en-GB" w:eastAsia="en-GB"/>
        </w:rPr>
      </w:pPr>
      <w:r>
        <w:t xml:space="preserve">On 1 November 2021, the report was officially launched in Armenia with participation of </w:t>
      </w:r>
      <w:r>
        <w:rPr>
          <w:rFonts w:eastAsia="Times New Roman"/>
          <w:color w:val="000000"/>
          <w:shd w:val="clear" w:color="auto" w:fill="FFFFFF"/>
        </w:rPr>
        <w:t xml:space="preserve">Shombi Sharp, UN Resident Coordinator in Armenia, Anahit Avanesyan, RA Minister of Health, </w:t>
      </w:r>
      <w:r>
        <w:rPr>
          <w:rStyle w:val="Emphasis"/>
          <w:rFonts w:eastAsia="Times New Roman"/>
          <w:i w:val="0"/>
          <w:iCs w:val="0"/>
          <w:color w:val="000000"/>
          <w:lang w:val="en-GB" w:eastAsia="en-GB"/>
        </w:rPr>
        <w:t xml:space="preserve">John Gallagher, </w:t>
      </w:r>
      <w:r w:rsidR="00D549F5">
        <w:rPr>
          <w:rStyle w:val="Emphasis"/>
          <w:rFonts w:eastAsia="Times New Roman"/>
          <w:i w:val="0"/>
          <w:iCs w:val="0"/>
          <w:color w:val="000000"/>
          <w:lang w:val="en-GB" w:eastAsia="en-GB"/>
        </w:rPr>
        <w:t xml:space="preserve">UK </w:t>
      </w:r>
      <w:r>
        <w:rPr>
          <w:rStyle w:val="Emphasis"/>
          <w:rFonts w:eastAsia="Times New Roman"/>
          <w:i w:val="0"/>
          <w:iCs w:val="0"/>
          <w:color w:val="000000"/>
          <w:lang w:val="en-GB" w:eastAsia="en-GB"/>
        </w:rPr>
        <w:t xml:space="preserve">Ambassador </w:t>
      </w:r>
      <w:r w:rsidR="00D549F5">
        <w:rPr>
          <w:rStyle w:val="Emphasis"/>
          <w:rFonts w:eastAsia="Times New Roman"/>
          <w:i w:val="0"/>
          <w:iCs w:val="0"/>
          <w:color w:val="000000"/>
          <w:lang w:val="en-GB" w:eastAsia="en-GB"/>
        </w:rPr>
        <w:t>t</w:t>
      </w:r>
      <w:r>
        <w:rPr>
          <w:rStyle w:val="Emphasis"/>
          <w:rFonts w:eastAsia="Times New Roman"/>
          <w:i w:val="0"/>
          <w:iCs w:val="0"/>
          <w:color w:val="000000"/>
          <w:lang w:val="en-GB" w:eastAsia="en-GB"/>
        </w:rPr>
        <w:t>o Armenia</w:t>
      </w:r>
      <w:r w:rsidR="00D81DF8">
        <w:rPr>
          <w:rStyle w:val="Emphasis"/>
          <w:rFonts w:eastAsia="Times New Roman"/>
          <w:i w:val="0"/>
          <w:iCs w:val="0"/>
          <w:color w:val="000000"/>
          <w:lang w:val="en-GB" w:eastAsia="en-GB"/>
        </w:rPr>
        <w:t xml:space="preserve">, </w:t>
      </w:r>
      <w:r>
        <w:rPr>
          <w:rFonts w:eastAsia="Times New Roman"/>
          <w:color w:val="000000"/>
          <w:shd w:val="clear" w:color="auto" w:fill="FFFFFF"/>
        </w:rPr>
        <w:t xml:space="preserve">Natia Natsvlishvili, </w:t>
      </w:r>
      <w:r>
        <w:rPr>
          <w:rFonts w:eastAsia="Times New Roman"/>
          <w:color w:val="0F1419"/>
          <w:shd w:val="clear" w:color="auto" w:fill="FFFFFF"/>
        </w:rPr>
        <w:t xml:space="preserve">UNDP </w:t>
      </w:r>
      <w:r>
        <w:rPr>
          <w:rFonts w:eastAsia="Times New Roman"/>
          <w:color w:val="000000"/>
          <w:spacing w:val="6"/>
        </w:rPr>
        <w:t>Resident Representative</w:t>
      </w:r>
      <w:r w:rsidR="00D81DF8">
        <w:rPr>
          <w:rFonts w:eastAsia="Times New Roman"/>
          <w:color w:val="000000"/>
          <w:spacing w:val="6"/>
        </w:rPr>
        <w:t xml:space="preserve"> in Armenia, D</w:t>
      </w:r>
      <w:r>
        <w:rPr>
          <w:rStyle w:val="Emphasis"/>
          <w:rFonts w:eastAsia="Times New Roman"/>
          <w:i w:val="0"/>
          <w:iCs w:val="0"/>
          <w:color w:val="000000"/>
        </w:rPr>
        <w:t>r. Adriana</w:t>
      </w:r>
      <w:r>
        <w:rPr>
          <w:rStyle w:val="apple-converted-space"/>
          <w:rFonts w:eastAsia="Times New Roman"/>
          <w:color w:val="000000"/>
          <w:shd w:val="clear" w:color="auto" w:fill="FFFFFF"/>
        </w:rPr>
        <w:t> </w:t>
      </w:r>
      <w:r>
        <w:rPr>
          <w:rFonts w:eastAsia="Times New Roman"/>
          <w:color w:val="000000"/>
          <w:shd w:val="clear" w:color="auto" w:fill="FFFFFF"/>
        </w:rPr>
        <w:t>Blanco Marquizo, Head of the Secretariat of the WHO</w:t>
      </w:r>
      <w:r>
        <w:rPr>
          <w:rStyle w:val="apple-converted-space"/>
          <w:rFonts w:eastAsia="Times New Roman"/>
          <w:color w:val="000000"/>
          <w:shd w:val="clear" w:color="auto" w:fill="FFFFFF"/>
        </w:rPr>
        <w:t> </w:t>
      </w:r>
      <w:r>
        <w:rPr>
          <w:rStyle w:val="Emphasis"/>
          <w:rFonts w:eastAsia="Times New Roman"/>
          <w:i w:val="0"/>
          <w:iCs w:val="0"/>
          <w:color w:val="000000"/>
        </w:rPr>
        <w:t>FCTC</w:t>
      </w:r>
      <w:r w:rsidR="00D81DF8">
        <w:rPr>
          <w:rStyle w:val="Emphasis"/>
          <w:rFonts w:eastAsia="Times New Roman"/>
          <w:i w:val="0"/>
          <w:iCs w:val="0"/>
          <w:color w:val="000000"/>
        </w:rPr>
        <w:t xml:space="preserve">, and </w:t>
      </w:r>
      <w:r>
        <w:rPr>
          <w:rFonts w:eastAsia="Times New Roman"/>
          <w:color w:val="000000"/>
          <w:shd w:val="clear" w:color="auto" w:fill="FFFFFF"/>
        </w:rPr>
        <w:t>Oleg Storozhenko,</w:t>
      </w:r>
      <w:r>
        <w:rPr>
          <w:rFonts w:eastAsia="Times New Roman"/>
          <w:lang w:val="en-GB" w:eastAsia="en-GB"/>
        </w:rPr>
        <w:t xml:space="preserve"> </w:t>
      </w:r>
      <w:r w:rsidR="00F840F2">
        <w:rPr>
          <w:rFonts w:eastAsia="Times New Roman"/>
          <w:lang w:val="en-GB" w:eastAsia="en-GB"/>
        </w:rPr>
        <w:t xml:space="preserve">WHO </w:t>
      </w:r>
      <w:r>
        <w:rPr>
          <w:rFonts w:eastAsia="Times New Roman"/>
          <w:lang w:val="en-GB" w:eastAsia="en-GB"/>
        </w:rPr>
        <w:t>Special Representative</w:t>
      </w:r>
      <w:r w:rsidR="00C021AD">
        <w:rPr>
          <w:rFonts w:eastAsia="Times New Roman"/>
          <w:lang w:val="en-GB" w:eastAsia="en-GB"/>
        </w:rPr>
        <w:t>, Country Office in Armenia</w:t>
      </w:r>
      <w:r w:rsidR="00F840F2">
        <w:rPr>
          <w:rFonts w:eastAsia="Times New Roman"/>
          <w:lang w:val="en-GB" w:eastAsia="en-GB"/>
        </w:rPr>
        <w:t xml:space="preserve">. </w:t>
      </w:r>
    </w:p>
    <w:p w14:paraId="1416FACF" w14:textId="77777777" w:rsidR="00310CCA" w:rsidRDefault="00310CCA" w:rsidP="00310CCA">
      <w:pPr>
        <w:spacing w:after="0" w:line="240" w:lineRule="auto"/>
        <w:rPr>
          <w:rFonts w:eastAsia="Times New Roman"/>
          <w:lang w:val="en-GB" w:eastAsia="en-GB"/>
        </w:rPr>
      </w:pPr>
    </w:p>
    <w:p w14:paraId="2272D4B7" w14:textId="64EFD2E9" w:rsidR="007804F0" w:rsidRDefault="00863A24" w:rsidP="001269D4">
      <w:pPr>
        <w:spacing w:after="0" w:line="240" w:lineRule="auto"/>
        <w:jc w:val="both"/>
        <w:rPr>
          <w:rFonts w:ascii="Calibri" w:eastAsia="Calibri" w:hAnsi="Calibri" w:cs="Calibri"/>
          <w:color w:val="000000"/>
        </w:rPr>
      </w:pPr>
      <w:r>
        <w:t>The FCTC Investment Case finds that t</w:t>
      </w:r>
      <w:r w:rsidR="00BE0F05">
        <w:t xml:space="preserve">obacco use </w:t>
      </w:r>
      <w:r w:rsidR="007804F0">
        <w:rPr>
          <w:rFonts w:ascii="Calibri" w:eastAsia="Calibri" w:hAnsi="Calibri" w:cs="Calibri"/>
          <w:color w:val="000000"/>
        </w:rPr>
        <w:t>undermines economic growth in Armenia and impedes the country’s efforts to increase efficiency in the health and economic sector</w:t>
      </w:r>
      <w:r w:rsidR="00F36D3D">
        <w:rPr>
          <w:rFonts w:ascii="Calibri" w:eastAsia="Calibri" w:hAnsi="Calibri" w:cs="Calibri"/>
          <w:color w:val="000000"/>
        </w:rPr>
        <w:t>.</w:t>
      </w:r>
    </w:p>
    <w:p w14:paraId="5F7B1C58" w14:textId="10FB44CC" w:rsidR="00954839" w:rsidRDefault="00954839" w:rsidP="001269D4">
      <w:pPr>
        <w:spacing w:after="0" w:line="240" w:lineRule="auto"/>
        <w:jc w:val="both"/>
        <w:rPr>
          <w:rFonts w:ascii="Calibri" w:eastAsia="Calibri" w:hAnsi="Calibri" w:cs="Calibri"/>
          <w:color w:val="000000"/>
        </w:rPr>
      </w:pPr>
    </w:p>
    <w:p w14:paraId="768DE148" w14:textId="2B9A247D" w:rsidR="00954839" w:rsidRPr="00954839" w:rsidRDefault="00954839" w:rsidP="00682951">
      <w:pPr>
        <w:spacing w:line="240" w:lineRule="auto"/>
        <w:jc w:val="both"/>
        <w:rPr>
          <w:rFonts w:eastAsia="Times New Roman"/>
          <w:color w:val="000000"/>
          <w:shd w:val="clear" w:color="auto" w:fill="FFFFFF"/>
        </w:rPr>
      </w:pPr>
      <w:r w:rsidRPr="00954839">
        <w:t xml:space="preserve">“Our modelling shows that effective tobacco control in Armenia will not only save thousands of precious lives, but also significantly increase overall economic growth, leading to higher tax revenues that can be invested in better health and education. We therefore congratulate the National Assembly of Armenia for winning the 2021 UN Award for the Prevention and Control of Noncommunicable Diseases following the new 2020 Law on the Reduction and Prevention of the Damage Caused by the Use of Tobacco. And now in the time of pandemic, with tobacco use one of the most devastating underlying factors of COVID-19 mortality, it is more important than ever!” said </w:t>
      </w:r>
      <w:r w:rsidRPr="00954839">
        <w:rPr>
          <w:rFonts w:eastAsia="Times New Roman"/>
          <w:color w:val="000000"/>
          <w:shd w:val="clear" w:color="auto" w:fill="FFFFFF"/>
        </w:rPr>
        <w:t>Shombi Sharp, UN Resident Coordinator in Armenia.</w:t>
      </w:r>
    </w:p>
    <w:p w14:paraId="1E898C9A" w14:textId="0D55343D" w:rsidR="00037E47" w:rsidRDefault="00037E47" w:rsidP="001269D4">
      <w:pPr>
        <w:spacing w:after="0" w:line="240" w:lineRule="auto"/>
        <w:jc w:val="both"/>
        <w:rPr>
          <w:rFonts w:ascii="Calibri" w:eastAsia="Calibri" w:hAnsi="Calibri" w:cs="Calibri"/>
          <w:color w:val="000000"/>
        </w:rPr>
      </w:pPr>
      <w:r w:rsidRPr="00061886">
        <w:rPr>
          <w:rFonts w:ascii="Calibri" w:eastAsia="Calibri" w:hAnsi="Calibri" w:cs="Calibri"/>
          <w:color w:val="000000"/>
        </w:rPr>
        <w:t>“In Armenia, over a quarter of the population (28 percent) aged 18 to 69 currently use some form of tobacco. Tobacco control is one of the priority areas for the Ministry of Health of Armenia and we highly appreciate the support of the international partners in this field.</w:t>
      </w:r>
      <w:r w:rsidR="00682951">
        <w:rPr>
          <w:rFonts w:ascii="Calibri" w:eastAsia="Calibri" w:hAnsi="Calibri" w:cs="Calibri"/>
          <w:color w:val="000000"/>
        </w:rPr>
        <w:t xml:space="preserve"> </w:t>
      </w:r>
      <w:r w:rsidRPr="00061886">
        <w:rPr>
          <w:rFonts w:ascii="Calibri" w:eastAsia="Calibri" w:hAnsi="Calibri" w:cs="Calibri"/>
          <w:color w:val="000000"/>
        </w:rPr>
        <w:t>Armenia Tobacco Control Investment Case analyzed the health and economic costs of tobacco use, as well as the potential benefits of strengthening tobacco control in Armenia.</w:t>
      </w:r>
      <w:r w:rsidR="00682951">
        <w:rPr>
          <w:rFonts w:ascii="Calibri" w:eastAsia="Calibri" w:hAnsi="Calibri" w:cs="Calibri"/>
          <w:color w:val="000000"/>
        </w:rPr>
        <w:t xml:space="preserve"> </w:t>
      </w:r>
      <w:r w:rsidRPr="00061886">
        <w:rPr>
          <w:rFonts w:ascii="Calibri" w:eastAsia="Calibri" w:hAnsi="Calibri" w:cs="Calibri"/>
          <w:color w:val="000000"/>
        </w:rPr>
        <w:t>The investment program is a tool for the ministries in there initiatives towards prevention and fighting against adverse effects of tobacco products and tobacco substitutes</w:t>
      </w:r>
      <w:r w:rsidR="007A0AED" w:rsidRPr="00061886">
        <w:rPr>
          <w:rFonts w:ascii="Calibri" w:eastAsia="Calibri" w:hAnsi="Calibri" w:cs="Calibri"/>
          <w:color w:val="000000"/>
        </w:rPr>
        <w:t>,”</w:t>
      </w:r>
      <w:r w:rsidR="00061886" w:rsidRPr="00061886">
        <w:rPr>
          <w:rFonts w:ascii="Calibri" w:eastAsia="Calibri" w:hAnsi="Calibri" w:cs="Calibri"/>
          <w:color w:val="000000"/>
        </w:rPr>
        <w:t xml:space="preserve"> </w:t>
      </w:r>
      <w:r w:rsidR="00031343" w:rsidRPr="00061886">
        <w:rPr>
          <w:rFonts w:ascii="Calibri" w:eastAsia="Calibri" w:hAnsi="Calibri" w:cs="Calibri"/>
          <w:color w:val="000000"/>
        </w:rPr>
        <w:t>said Anahit</w:t>
      </w:r>
      <w:r w:rsidR="00061886" w:rsidRPr="00061886">
        <w:rPr>
          <w:rFonts w:ascii="Calibri" w:eastAsia="Calibri" w:hAnsi="Calibri" w:cs="Calibri"/>
          <w:color w:val="000000"/>
        </w:rPr>
        <w:t xml:space="preserve"> Avanesyan, RA Minister of Health.</w:t>
      </w:r>
    </w:p>
    <w:p w14:paraId="286B4365" w14:textId="36053C61" w:rsidR="0051680F" w:rsidRDefault="0051680F" w:rsidP="001269D4">
      <w:pPr>
        <w:spacing w:after="0" w:line="240" w:lineRule="auto"/>
        <w:jc w:val="both"/>
        <w:rPr>
          <w:rFonts w:ascii="Calibri" w:eastAsia="Calibri" w:hAnsi="Calibri" w:cs="Calibri"/>
          <w:color w:val="000000"/>
        </w:rPr>
      </w:pPr>
    </w:p>
    <w:p w14:paraId="53BF7492" w14:textId="17FA9F2A" w:rsidR="0051680F" w:rsidRDefault="0051680F" w:rsidP="00954839">
      <w:pPr>
        <w:pStyle w:val="NoSpacing"/>
        <w:jc w:val="both"/>
        <w:rPr>
          <w:lang w:val="en-GB"/>
        </w:rPr>
      </w:pPr>
      <w:r>
        <w:rPr>
          <w:lang w:val="en-GB"/>
        </w:rPr>
        <w:t>“The United Kingdom is pleased to support this important project to assist the Government of Armenia in implementing tobacco control measures. The COVID-19 pandemic makes Armenia’s commitment to smoke-free indoor spaces more important than ever. I am confident that the Government of Armenia will make the most of the FCTC 2030 project as part of its active efforts to protect and promote public health and sustainable development for the Armenian people,” said</w:t>
      </w:r>
      <w:r w:rsidR="002C606F">
        <w:rPr>
          <w:lang w:val="en-GB"/>
        </w:rPr>
        <w:t xml:space="preserve"> </w:t>
      </w:r>
      <w:r w:rsidR="002C606F">
        <w:rPr>
          <w:rStyle w:val="Emphasis"/>
          <w:rFonts w:eastAsia="Times New Roman"/>
          <w:i w:val="0"/>
          <w:iCs w:val="0"/>
          <w:color w:val="000000"/>
          <w:lang w:val="en-GB" w:eastAsia="en-GB"/>
        </w:rPr>
        <w:t>John Gallagher, UK Ambassador to Armenia.</w:t>
      </w:r>
      <w:r>
        <w:rPr>
          <w:lang w:val="en-GB"/>
        </w:rPr>
        <w:t xml:space="preserve"> </w:t>
      </w:r>
    </w:p>
    <w:p w14:paraId="15975F69" w14:textId="40F472E8" w:rsidR="00501807" w:rsidRPr="00061886" w:rsidRDefault="00501807" w:rsidP="00310CCA">
      <w:pPr>
        <w:spacing w:after="0" w:line="240" w:lineRule="auto"/>
        <w:rPr>
          <w:rFonts w:ascii="Calibri" w:eastAsia="Calibri" w:hAnsi="Calibri" w:cs="Calibri"/>
          <w:color w:val="000000"/>
        </w:rPr>
      </w:pPr>
    </w:p>
    <w:p w14:paraId="01F11C09" w14:textId="0CB977AA" w:rsidR="00BC027E" w:rsidRDefault="00BC027E" w:rsidP="00061886">
      <w:pPr>
        <w:spacing w:line="240" w:lineRule="auto"/>
        <w:jc w:val="both"/>
      </w:pPr>
      <w:r w:rsidRPr="00061886">
        <w:lastRenderedPageBreak/>
        <w:t>“UNDP is a proud partner in the FCTC 2030 project. As an organization dedicated to sustainable development, we are committed to tobacco control because we recognize its critical role in protecting health and socio-economic well-being. The effects of the tobacco epidemic extend across the 2030 Agenda for Sustainable Development as it exacerbates inequalities, deepens poverty and slows economic growth,” said Natia Natsvlishvili, UNDP Resident Representative in Armenia.</w:t>
      </w:r>
      <w:r w:rsidRPr="00874A43">
        <w:t xml:space="preserve"> </w:t>
      </w:r>
    </w:p>
    <w:p w14:paraId="2EF0D04A" w14:textId="77777777" w:rsidR="00BC027E" w:rsidRDefault="00501807" w:rsidP="00501807">
      <w:pPr>
        <w:jc w:val="lowKashida"/>
      </w:pPr>
      <w:r>
        <w:t>Implementing the WHO Framework Convention on Tobacco Control represents one of the most cost-effective means for improving people’s lives and advancing sustainable development.</w:t>
      </w:r>
    </w:p>
    <w:p w14:paraId="102CB81F" w14:textId="77777777" w:rsidR="00F24053" w:rsidRDefault="00F24053" w:rsidP="00F24053">
      <w:pPr>
        <w:spacing w:after="0" w:line="240" w:lineRule="auto"/>
        <w:jc w:val="both"/>
      </w:pPr>
      <w:r>
        <w:t>“</w:t>
      </w:r>
      <w:r w:rsidRPr="009B0E53">
        <w:t>Under the FCTC 2030 project, we are supporting Armenia to implement priority tobacco control activities, including a new national tobacco control strategy, the promotion of effective multisectoral coordination, compliance building for the new tobacco control law, and the introduction of plain packaging for tobacco products.</w:t>
      </w:r>
      <w:r>
        <w:t xml:space="preserve"> </w:t>
      </w:r>
      <w:r w:rsidRPr="009B0E53">
        <w:t>I urge Armenia to consider implementing a policy of higher taxation on all tobacco products</w:t>
      </w:r>
      <w:r>
        <w:t xml:space="preserve">,” said </w:t>
      </w:r>
      <w:r>
        <w:rPr>
          <w:rFonts w:eastAsia="Times New Roman"/>
          <w:color w:val="000000"/>
          <w:spacing w:val="6"/>
        </w:rPr>
        <w:t>D</w:t>
      </w:r>
      <w:r>
        <w:rPr>
          <w:rStyle w:val="Emphasis"/>
          <w:rFonts w:eastAsia="Times New Roman"/>
          <w:i w:val="0"/>
          <w:iCs w:val="0"/>
          <w:color w:val="000000"/>
        </w:rPr>
        <w:t>r. Adriana</w:t>
      </w:r>
      <w:r>
        <w:rPr>
          <w:rStyle w:val="apple-converted-space"/>
          <w:rFonts w:eastAsia="Times New Roman"/>
          <w:color w:val="000000"/>
          <w:shd w:val="clear" w:color="auto" w:fill="FFFFFF"/>
        </w:rPr>
        <w:t> </w:t>
      </w:r>
      <w:r>
        <w:rPr>
          <w:rFonts w:eastAsia="Times New Roman"/>
          <w:color w:val="000000"/>
          <w:shd w:val="clear" w:color="auto" w:fill="FFFFFF"/>
        </w:rPr>
        <w:t>Blanco Marquizo, Head of the Secretariat of the WHO</w:t>
      </w:r>
      <w:r>
        <w:rPr>
          <w:rStyle w:val="apple-converted-space"/>
          <w:rFonts w:eastAsia="Times New Roman"/>
          <w:color w:val="000000"/>
          <w:shd w:val="clear" w:color="auto" w:fill="FFFFFF"/>
        </w:rPr>
        <w:t> </w:t>
      </w:r>
      <w:r>
        <w:rPr>
          <w:rStyle w:val="Emphasis"/>
          <w:rFonts w:eastAsia="Times New Roman"/>
          <w:i w:val="0"/>
          <w:iCs w:val="0"/>
          <w:color w:val="000000"/>
        </w:rPr>
        <w:t>FCTC.</w:t>
      </w:r>
    </w:p>
    <w:p w14:paraId="4332D546" w14:textId="77777777" w:rsidR="00F24053" w:rsidRDefault="00F24053" w:rsidP="00AC5C70">
      <w:pPr>
        <w:spacing w:after="0" w:line="240" w:lineRule="auto"/>
        <w:jc w:val="both"/>
      </w:pPr>
    </w:p>
    <w:p w14:paraId="5F0CC569" w14:textId="627F281D" w:rsidR="00AC5C70" w:rsidRDefault="00AC5C70" w:rsidP="00AC5C70">
      <w:pPr>
        <w:spacing w:after="0" w:line="240" w:lineRule="auto"/>
        <w:jc w:val="both"/>
        <w:rPr>
          <w:rFonts w:eastAsia="Times New Roman"/>
          <w:lang w:val="en-GB" w:eastAsia="en-GB"/>
        </w:rPr>
      </w:pPr>
      <w:r>
        <w:t xml:space="preserve">“FCTC Investment case analysis will generate strong evidence on magnitude of direct and indirect health and economic burden of tobacco in the country, and hopefully will contribute for stronger tobacco control measures that will protect the Armenian population from tobacco-related harm,” </w:t>
      </w:r>
      <w:r w:rsidR="00061886">
        <w:t xml:space="preserve">said </w:t>
      </w:r>
      <w:r>
        <w:rPr>
          <w:rFonts w:eastAsia="Times New Roman"/>
          <w:color w:val="000000"/>
          <w:shd w:val="clear" w:color="auto" w:fill="FFFFFF"/>
        </w:rPr>
        <w:t>Oleg Storozhenko,</w:t>
      </w:r>
      <w:r>
        <w:rPr>
          <w:rFonts w:eastAsia="Times New Roman"/>
          <w:lang w:val="en-GB" w:eastAsia="en-GB"/>
        </w:rPr>
        <w:t xml:space="preserve"> WHO Special Representative, Country Office in Armenia. </w:t>
      </w:r>
    </w:p>
    <w:p w14:paraId="41ED8BF7" w14:textId="511F5A79" w:rsidR="009B0E53" w:rsidRDefault="009B0E53" w:rsidP="00AC5C70">
      <w:pPr>
        <w:spacing w:after="0" w:line="240" w:lineRule="auto"/>
        <w:jc w:val="both"/>
        <w:rPr>
          <w:rFonts w:eastAsia="Times New Roman"/>
          <w:lang w:val="en-GB" w:eastAsia="en-GB"/>
        </w:rPr>
      </w:pPr>
    </w:p>
    <w:p w14:paraId="33793C33" w14:textId="213F327E" w:rsidR="00BE0F05" w:rsidRDefault="00BE0F05" w:rsidP="00BE0F05">
      <w:pPr>
        <w:spacing w:line="240" w:lineRule="auto"/>
        <w:jc w:val="lowKashida"/>
      </w:pPr>
      <w:r>
        <w:t xml:space="preserve">Tobacco use is associated with more severe COVID-19 disease. Addressing tobacco and COVID-19 together can reduce the health and economic burdens of both. </w:t>
      </w:r>
    </w:p>
    <w:p w14:paraId="2AD6D42B" w14:textId="53D868FA" w:rsidR="00BE0F05" w:rsidRDefault="00BE0F05" w:rsidP="00863A24">
      <w:pPr>
        <w:spacing w:line="240" w:lineRule="auto"/>
        <w:jc w:val="lowKashida"/>
      </w:pPr>
      <w:r>
        <w:t xml:space="preserve">Investing now in </w:t>
      </w:r>
      <w:r w:rsidR="007804F0">
        <w:t>seven</w:t>
      </w:r>
      <w:r>
        <w:t xml:space="preserve"> proven tobacco control measures that reduce smoking prevalence and exposure to tobacco smoke can significantly reduce the major burden of tobacco in </w:t>
      </w:r>
      <w:r w:rsidR="007804F0">
        <w:t>Armenia</w:t>
      </w:r>
      <w:r>
        <w:t xml:space="preserve">. </w:t>
      </w:r>
    </w:p>
    <w:p w14:paraId="16333976" w14:textId="56D810C1" w:rsidR="007804F0" w:rsidRDefault="00BE0F05" w:rsidP="00863A24">
      <w:pPr>
        <w:spacing w:line="240" w:lineRule="auto"/>
        <w:jc w:val="lowKashida"/>
      </w:pPr>
      <w:r>
        <w:t xml:space="preserve">The economic benefits of strengthening tobacco control in </w:t>
      </w:r>
      <w:r w:rsidR="007804F0">
        <w:t>Armenia</w:t>
      </w:r>
      <w:r>
        <w:t xml:space="preserve"> outweigh the costs of implementation (</w:t>
      </w:r>
      <w:r w:rsidR="007804F0">
        <w:t xml:space="preserve">AMD 889.1 </w:t>
      </w:r>
      <w:r>
        <w:t xml:space="preserve">billion economic </w:t>
      </w:r>
      <w:r w:rsidR="00863A24">
        <w:t xml:space="preserve">benefits over 15 years, compared to </w:t>
      </w:r>
      <w:r w:rsidR="007804F0">
        <w:t>AMD 10.4 billion</w:t>
      </w:r>
      <w:r>
        <w:t xml:space="preserve"> invested). All seven tobacco control measures </w:t>
      </w:r>
      <w:r w:rsidR="00863A24">
        <w:t xml:space="preserve">modeled </w:t>
      </w:r>
      <w:r>
        <w:t xml:space="preserve">have positive returns on investment. </w:t>
      </w:r>
    </w:p>
    <w:p w14:paraId="324F9F12" w14:textId="579896AC" w:rsidR="00BE0F05" w:rsidRDefault="00BE0F05" w:rsidP="007804F0">
      <w:pPr>
        <w:spacing w:line="240" w:lineRule="auto"/>
        <w:jc w:val="lowKashida"/>
      </w:pPr>
      <w:r>
        <w:t xml:space="preserve">Investing in these seven tobacco control measures over 15 years can avert </w:t>
      </w:r>
      <w:r w:rsidR="007804F0">
        <w:t>AMD 246.4 billion</w:t>
      </w:r>
      <w:r>
        <w:t xml:space="preserve"> in healthcare expenditures</w:t>
      </w:r>
      <w:r w:rsidR="007804F0">
        <w:t>,</w:t>
      </w:r>
      <w:r>
        <w:t xml:space="preserve"> with </w:t>
      </w:r>
      <w:r w:rsidR="007804F0">
        <w:t>13</w:t>
      </w:r>
      <w:r>
        <w:t xml:space="preserve">% accruing to the Government, </w:t>
      </w:r>
      <w:r w:rsidR="007804F0">
        <w:t>84</w:t>
      </w:r>
      <w:r>
        <w:t xml:space="preserve">% to </w:t>
      </w:r>
      <w:r w:rsidR="007804F0">
        <w:t xml:space="preserve">individual </w:t>
      </w:r>
      <w:r>
        <w:t>citizens who</w:t>
      </w:r>
      <w:r w:rsidR="007804F0">
        <w:t xml:space="preserve"> would have made </w:t>
      </w:r>
      <w:r>
        <w:t>out-of-pocket payments</w:t>
      </w:r>
      <w:r w:rsidR="007804F0">
        <w:t xml:space="preserve">, and the remaining </w:t>
      </w:r>
      <w:r>
        <w:t xml:space="preserve">3% to private insurance and other sources of healthcare expenditures. </w:t>
      </w:r>
    </w:p>
    <w:p w14:paraId="3530853D" w14:textId="673E9A3B" w:rsidR="00F36D3D" w:rsidRDefault="00863A24" w:rsidP="00F36D3D">
      <w:pPr>
        <w:spacing w:line="240" w:lineRule="auto"/>
        <w:jc w:val="lowKashida"/>
      </w:pPr>
      <w:r>
        <w:t xml:space="preserve">Increasing </w:t>
      </w:r>
      <w:r w:rsidR="00BE0F05">
        <w:t xml:space="preserve">tobacco taxes in </w:t>
      </w:r>
      <w:r w:rsidR="007804F0">
        <w:t>Armenia</w:t>
      </w:r>
      <w:r w:rsidR="00BE0F05">
        <w:t xml:space="preserve"> </w:t>
      </w:r>
      <w:r w:rsidR="007804F0">
        <w:t xml:space="preserve">would </w:t>
      </w:r>
      <w:r w:rsidR="007804F0" w:rsidRPr="007804F0">
        <w:rPr>
          <w:rFonts w:cs="Myriad Pro"/>
          <w:color w:val="000000"/>
        </w:rPr>
        <w:t>reduce the affordability of tobacco products, decrease consumption, reduce the burden of tobacco-related diseases, and increase revenu</w:t>
      </w:r>
      <w:r w:rsidR="007804F0">
        <w:rPr>
          <w:rFonts w:cs="Myriad Pro"/>
          <w:color w:val="000000"/>
        </w:rPr>
        <w:t>e</w:t>
      </w:r>
      <w:r w:rsidR="00BE0F05">
        <w:t xml:space="preserve">. </w:t>
      </w:r>
      <w:r w:rsidR="007804F0">
        <w:t>Additionally, the total economic benefit resulting from reduced tobacco</w:t>
      </w:r>
      <w:r w:rsidR="007804F0">
        <w:rPr>
          <w:rFonts w:cs="Myriad Pro"/>
          <w:color w:val="000000"/>
          <w:sz w:val="23"/>
          <w:szCs w:val="23"/>
        </w:rPr>
        <w:t xml:space="preserve"> consumption over the next </w:t>
      </w:r>
      <w:r w:rsidR="007804F0" w:rsidRPr="007804F0">
        <w:rPr>
          <w:rFonts w:cs="Myriad Pro"/>
          <w:color w:val="000000"/>
        </w:rPr>
        <w:t xml:space="preserve">15 years </w:t>
      </w:r>
      <w:r w:rsidR="007804F0">
        <w:rPr>
          <w:rFonts w:cs="Myriad Pro"/>
          <w:color w:val="000000"/>
        </w:rPr>
        <w:t>is</w:t>
      </w:r>
      <w:r w:rsidR="007804F0" w:rsidRPr="007804F0">
        <w:rPr>
          <w:rFonts w:cs="Myriad Pro"/>
          <w:color w:val="000000"/>
        </w:rPr>
        <w:t xml:space="preserve"> equivalent to 4.1 percent of </w:t>
      </w:r>
      <w:r w:rsidR="00AD3CA6">
        <w:rPr>
          <w:rFonts w:cs="Myriad Pro"/>
          <w:color w:val="000000"/>
        </w:rPr>
        <w:t xml:space="preserve">annual </w:t>
      </w:r>
      <w:r w:rsidR="007804F0" w:rsidRPr="007804F0">
        <w:rPr>
          <w:rFonts w:cs="Myriad Pro"/>
          <w:color w:val="000000"/>
        </w:rPr>
        <w:t>GDP of Armenia.</w:t>
      </w:r>
    </w:p>
    <w:p w14:paraId="570B23EE" w14:textId="217442CA" w:rsidR="00BE0F05" w:rsidRPr="0030370F" w:rsidRDefault="00BE0F05" w:rsidP="00BE0F05">
      <w:pPr>
        <w:spacing w:line="240" w:lineRule="auto"/>
        <w:jc w:val="both"/>
        <w:rPr>
          <w:b/>
          <w:bCs/>
        </w:rPr>
      </w:pPr>
      <w:r w:rsidRPr="0030370F">
        <w:rPr>
          <w:b/>
          <w:bCs/>
        </w:rPr>
        <w:t xml:space="preserve">Findings on the annual burden of Tobacco in </w:t>
      </w:r>
      <w:r w:rsidR="007804F0" w:rsidRPr="0030370F">
        <w:rPr>
          <w:b/>
          <w:bCs/>
        </w:rPr>
        <w:t>Armenia</w:t>
      </w:r>
      <w:r w:rsidRPr="0030370F">
        <w:rPr>
          <w:b/>
          <w:bCs/>
        </w:rPr>
        <w:t>:</w:t>
      </w:r>
    </w:p>
    <w:p w14:paraId="3A3561EA" w14:textId="31C4DEB2" w:rsidR="007804F0" w:rsidRDefault="007804F0" w:rsidP="00F36D3D">
      <w:pPr>
        <w:pBdr>
          <w:top w:val="nil"/>
          <w:left w:val="nil"/>
          <w:bottom w:val="nil"/>
          <w:right w:val="nil"/>
          <w:between w:val="nil"/>
        </w:pBdr>
        <w:spacing w:after="0" w:line="240" w:lineRule="auto"/>
        <w:jc w:val="both"/>
      </w:pPr>
      <w:r>
        <w:rPr>
          <w:rFonts w:ascii="Calibri" w:eastAsia="Calibri" w:hAnsi="Calibri" w:cs="Calibri"/>
          <w:color w:val="000000"/>
        </w:rPr>
        <w:t>Annually, more than 5,500 deaths result from tobacco-related illness, accounting for nearly 20% of all deaths in the country. These deaths include about 2</w:t>
      </w:r>
      <w:r w:rsidR="00F36D3D">
        <w:rPr>
          <w:rFonts w:ascii="Calibri" w:eastAsia="Calibri" w:hAnsi="Calibri" w:cs="Calibri"/>
          <w:color w:val="000000"/>
        </w:rPr>
        <w:t>,</w:t>
      </w:r>
      <w:r>
        <w:rPr>
          <w:rFonts w:ascii="Calibri" w:eastAsia="Calibri" w:hAnsi="Calibri" w:cs="Calibri"/>
          <w:color w:val="000000"/>
        </w:rPr>
        <w:t xml:space="preserve">255 </w:t>
      </w:r>
      <w:r>
        <w:t>deaths from ischemic heart disease, 906 death</w:t>
      </w:r>
      <w:r w:rsidR="00F36D3D">
        <w:t>s</w:t>
      </w:r>
      <w:r>
        <w:t xml:space="preserve"> from </w:t>
      </w:r>
      <w:r w:rsidR="00F36D3D">
        <w:t>l</w:t>
      </w:r>
      <w:r>
        <w:t xml:space="preserve">ung cancer, and more than 500 deaths each from </w:t>
      </w:r>
      <w:r w:rsidR="00F36D3D">
        <w:t>c</w:t>
      </w:r>
      <w:r>
        <w:t>hronic obstructive pulmonary disease and lower respiratory infections.</w:t>
      </w:r>
    </w:p>
    <w:p w14:paraId="139BA74A" w14:textId="556D7476" w:rsidR="007804F0" w:rsidRDefault="007804F0" w:rsidP="007804F0">
      <w:pPr>
        <w:pBdr>
          <w:top w:val="nil"/>
          <w:left w:val="nil"/>
          <w:bottom w:val="nil"/>
          <w:right w:val="nil"/>
          <w:between w:val="nil"/>
        </w:pBdr>
        <w:spacing w:after="0" w:line="240" w:lineRule="auto"/>
      </w:pPr>
    </w:p>
    <w:p w14:paraId="6C341FB7" w14:textId="1C196EE6" w:rsidR="007804F0" w:rsidRDefault="007804F0" w:rsidP="007804F0">
      <w:pPr>
        <w:spacing w:line="240" w:lineRule="auto"/>
        <w:jc w:val="both"/>
      </w:pPr>
      <w:r>
        <w:lastRenderedPageBreak/>
        <w:t>More than half (52%) of tobacco-related deaths are premature, meaning they occur among individuals younger than 70. Nearly one-fifth (19%) of tobacco-related deaths are due to exposure to secondhand smoke.</w:t>
      </w:r>
    </w:p>
    <w:p w14:paraId="633BC786" w14:textId="60010EC3" w:rsidR="007804F0" w:rsidRDefault="007804F0" w:rsidP="007804F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economic losses from tobacco nearly reached the forecasted economic contraction in Armenia due to COVID-19 (4.5% in 2020</w:t>
      </w:r>
      <w:r>
        <w:rPr>
          <w:rFonts w:ascii="Calibri" w:eastAsia="Calibri" w:hAnsi="Calibri" w:cs="Calibri"/>
          <w:color w:val="000000"/>
          <w:vertAlign w:val="superscript"/>
        </w:rPr>
        <w:footnoteReference w:id="1"/>
      </w:r>
      <w:r>
        <w:rPr>
          <w:rFonts w:ascii="Calibri" w:eastAsia="Calibri" w:hAnsi="Calibri" w:cs="Calibri"/>
          <w:color w:val="000000"/>
        </w:rPr>
        <w:t xml:space="preserve">) – every year. </w:t>
      </w:r>
    </w:p>
    <w:p w14:paraId="1D9D2171" w14:textId="3018AA3E" w:rsidR="007804F0" w:rsidRDefault="007804F0" w:rsidP="007804F0">
      <w:pPr>
        <w:pBdr>
          <w:top w:val="nil"/>
          <w:left w:val="nil"/>
          <w:bottom w:val="nil"/>
          <w:right w:val="nil"/>
          <w:between w:val="nil"/>
        </w:pBdr>
        <w:spacing w:after="0" w:line="240" w:lineRule="auto"/>
        <w:rPr>
          <w:rFonts w:ascii="Calibri" w:eastAsia="Calibri" w:hAnsi="Calibri" w:cs="Calibri"/>
          <w:color w:val="000000"/>
        </w:rPr>
      </w:pPr>
    </w:p>
    <w:p w14:paraId="08FE9F3D" w14:textId="77777777" w:rsidR="007804F0" w:rsidRDefault="007804F0" w:rsidP="007804F0">
      <w:pPr>
        <w:pBdr>
          <w:top w:val="nil"/>
          <w:left w:val="nil"/>
          <w:bottom w:val="nil"/>
          <w:right w:val="nil"/>
          <w:between w:val="nil"/>
        </w:pBdr>
        <w:spacing w:line="240" w:lineRule="auto"/>
        <w:jc w:val="both"/>
      </w:pPr>
      <w:r>
        <w:rPr>
          <w:rFonts w:ascii="Calibri" w:eastAsia="Calibri" w:hAnsi="Calibri" w:cs="Calibri"/>
          <w:color w:val="000000"/>
        </w:rPr>
        <w:t xml:space="preserve">Of the total burden (AMD 273.1 billion) due to tobacco, 28% attributes to healthcare expenditures (AMD 75.8 billion), while 72% (AMD 197.3 billion) to lost productivity from people exiting the workforce prematurely due to death or disability and taking smoke breaks at work. </w:t>
      </w:r>
    </w:p>
    <w:p w14:paraId="528AA33B" w14:textId="10151AC9" w:rsidR="007804F0" w:rsidRDefault="007804F0" w:rsidP="007804F0">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Investing </w:t>
      </w:r>
      <w:r>
        <w:rPr>
          <w:color w:val="000000"/>
        </w:rPr>
        <w:t>in seven tobacco control measures over 15 years would prevent more than 23,000 deaths and reduce premature mortality (under 70) by one-third of</w:t>
      </w:r>
      <w:r>
        <w:rPr>
          <w:rFonts w:ascii="Calibri" w:eastAsia="Calibri" w:hAnsi="Calibri" w:cs="Calibri"/>
          <w:color w:val="000000"/>
        </w:rPr>
        <w:t xml:space="preserve"> non-communicable diseases.</w:t>
      </w:r>
    </w:p>
    <w:p w14:paraId="511D52EB" w14:textId="547BEE69" w:rsidR="007804F0" w:rsidRDefault="007804F0" w:rsidP="007804F0">
      <w:pPr>
        <w:pBdr>
          <w:top w:val="nil"/>
          <w:left w:val="nil"/>
          <w:bottom w:val="nil"/>
          <w:right w:val="nil"/>
          <w:between w:val="nil"/>
        </w:pBdr>
        <w:spacing w:after="0" w:line="240" w:lineRule="auto"/>
        <w:jc w:val="both"/>
        <w:rPr>
          <w:rFonts w:ascii="Calibri" w:eastAsia="Calibri" w:hAnsi="Calibri" w:cs="Calibri"/>
          <w:color w:val="000000"/>
        </w:rPr>
      </w:pPr>
    </w:p>
    <w:p w14:paraId="317603E4" w14:textId="23A0448E" w:rsidR="007804F0" w:rsidRDefault="007804F0" w:rsidP="007804F0">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Fully scaling the seven tobacco control measure would prevent more than 23</w:t>
      </w:r>
      <w:r w:rsidR="00F36D3D">
        <w:rPr>
          <w:rFonts w:ascii="Calibri" w:eastAsia="Calibri" w:hAnsi="Calibri" w:cs="Calibri"/>
          <w:color w:val="000000"/>
        </w:rPr>
        <w:t>,</w:t>
      </w:r>
      <w:r>
        <w:rPr>
          <w:rFonts w:ascii="Calibri" w:eastAsia="Calibri" w:hAnsi="Calibri" w:cs="Calibri"/>
          <w:color w:val="000000"/>
        </w:rPr>
        <w:t>200 deaths and avert AMD 889.1 billion in healthcare cost and economic losses by 2034.</w:t>
      </w:r>
    </w:p>
    <w:p w14:paraId="40D3024F" w14:textId="77777777" w:rsidR="007804F0" w:rsidRDefault="007804F0" w:rsidP="007804F0">
      <w:pPr>
        <w:pBdr>
          <w:top w:val="nil"/>
          <w:left w:val="nil"/>
          <w:bottom w:val="nil"/>
          <w:right w:val="nil"/>
          <w:between w:val="nil"/>
        </w:pBdr>
        <w:spacing w:after="0" w:line="240" w:lineRule="auto"/>
        <w:jc w:val="both"/>
      </w:pPr>
    </w:p>
    <w:p w14:paraId="1C7F52D2" w14:textId="0B25BBF7" w:rsidR="00BE0F05" w:rsidRDefault="00BE0F05" w:rsidP="00863A24">
      <w:pPr>
        <w:spacing w:line="240" w:lineRule="auto"/>
        <w:jc w:val="both"/>
      </w:pPr>
      <w:r>
        <w:t>For every</w:t>
      </w:r>
      <w:r w:rsidR="007804F0">
        <w:t xml:space="preserve"> Armenian dram </w:t>
      </w:r>
      <w:r>
        <w:t xml:space="preserve">invested in seven tobacco-control measures, </w:t>
      </w:r>
      <w:r w:rsidR="007804F0">
        <w:t xml:space="preserve">Armenia </w:t>
      </w:r>
      <w:r>
        <w:t>w</w:t>
      </w:r>
      <w:r w:rsidR="007804F0">
        <w:t>ould</w:t>
      </w:r>
      <w:r>
        <w:t xml:space="preserve"> receive </w:t>
      </w:r>
      <w:r w:rsidR="007804F0">
        <w:t>AMD 38</w:t>
      </w:r>
      <w:r>
        <w:t xml:space="preserve"> in averted costs and economic losses by 2024 and </w:t>
      </w:r>
      <w:r w:rsidR="007804F0">
        <w:t xml:space="preserve">AMD 86 </w:t>
      </w:r>
      <w:r>
        <w:t>by 2034.</w:t>
      </w:r>
      <w:r w:rsidR="007804F0">
        <w:t xml:space="preserve"> Increasing cigarette taxes and banning t</w:t>
      </w:r>
      <w:r>
        <w:t xml:space="preserve">obacco </w:t>
      </w:r>
      <w:r w:rsidR="007804F0">
        <w:t>advertising, promotion and sponsorship are</w:t>
      </w:r>
      <w:r>
        <w:t xml:space="preserve"> projected to produce the greatest returns by 2034.</w:t>
      </w:r>
    </w:p>
    <w:p w14:paraId="5B98F53D" w14:textId="77777777" w:rsidR="00BE0F05" w:rsidRDefault="00BE0F05" w:rsidP="00BE0F05">
      <w:pPr>
        <w:pStyle w:val="ListParagraph"/>
        <w:spacing w:after="240" w:line="240" w:lineRule="auto"/>
        <w:jc w:val="both"/>
      </w:pPr>
    </w:p>
    <w:p w14:paraId="160512C8" w14:textId="2952C35C" w:rsidR="00BE0F05" w:rsidRDefault="00BE0F05" w:rsidP="00BE0F05">
      <w:pPr>
        <w:pStyle w:val="ListParagraph"/>
        <w:numPr>
          <w:ilvl w:val="1"/>
          <w:numId w:val="26"/>
        </w:numPr>
        <w:spacing w:after="120" w:line="240" w:lineRule="auto"/>
        <w:contextualSpacing w:val="0"/>
        <w:jc w:val="both"/>
      </w:pPr>
      <w:r>
        <w:t xml:space="preserve">For every </w:t>
      </w:r>
      <w:r w:rsidR="007804F0">
        <w:t xml:space="preserve">Armenian dram </w:t>
      </w:r>
      <w:r>
        <w:t>invested in</w:t>
      </w:r>
      <w:r w:rsidR="006B3A89">
        <w:t xml:space="preserve"> improving</w:t>
      </w:r>
      <w:r>
        <w:t xml:space="preserve"> </w:t>
      </w:r>
      <w:r w:rsidRPr="0012164E">
        <w:rPr>
          <w:b/>
          <w:bCs/>
        </w:rPr>
        <w:t>tobacco warning labels</w:t>
      </w:r>
      <w:r>
        <w:t xml:space="preserve">, </w:t>
      </w:r>
      <w:r w:rsidR="007804F0">
        <w:t>Armenia</w:t>
      </w:r>
      <w:r>
        <w:t xml:space="preserve"> will receive </w:t>
      </w:r>
      <w:r w:rsidR="007804F0">
        <w:t>AMD</w:t>
      </w:r>
      <w:r>
        <w:t xml:space="preserve"> </w:t>
      </w:r>
      <w:r w:rsidR="007804F0">
        <w:t xml:space="preserve">19 </w:t>
      </w:r>
      <w:r>
        <w:t xml:space="preserve">by 2024 and </w:t>
      </w:r>
      <w:r w:rsidR="007804F0">
        <w:t>AMD</w:t>
      </w:r>
      <w:r>
        <w:t xml:space="preserve"> 5</w:t>
      </w:r>
      <w:r w:rsidR="007804F0">
        <w:t>6</w:t>
      </w:r>
      <w:r>
        <w:t xml:space="preserve"> by 2034 (</w:t>
      </w:r>
      <w:r w:rsidRPr="0012164E">
        <w:rPr>
          <w:i/>
          <w:iCs/>
        </w:rPr>
        <w:t>WHO FCTC Article 11</w:t>
      </w:r>
      <w:r>
        <w:t>)</w:t>
      </w:r>
    </w:p>
    <w:p w14:paraId="5BAE5287" w14:textId="01934716" w:rsidR="00BE0F05" w:rsidRDefault="00BE0F05" w:rsidP="00BE0F05">
      <w:pPr>
        <w:pStyle w:val="ListParagraph"/>
        <w:numPr>
          <w:ilvl w:val="1"/>
          <w:numId w:val="26"/>
        </w:numPr>
        <w:spacing w:after="120" w:line="240" w:lineRule="auto"/>
        <w:contextualSpacing w:val="0"/>
        <w:jc w:val="both"/>
      </w:pPr>
      <w:r>
        <w:t xml:space="preserve">For every </w:t>
      </w:r>
      <w:r w:rsidR="007804F0">
        <w:t xml:space="preserve">Armenian dram </w:t>
      </w:r>
      <w:r>
        <w:t xml:space="preserve">invested in </w:t>
      </w:r>
      <w:r w:rsidRPr="0012164E">
        <w:rPr>
          <w:b/>
          <w:bCs/>
        </w:rPr>
        <w:t>protecting people from tobacco smoke</w:t>
      </w:r>
      <w:r>
        <w:t xml:space="preserve"> </w:t>
      </w:r>
      <w:r w:rsidR="006B3A89">
        <w:t xml:space="preserve">in public places </w:t>
      </w:r>
      <w:r w:rsidR="007804F0">
        <w:t>Armenia</w:t>
      </w:r>
      <w:r>
        <w:t xml:space="preserve"> will receive </w:t>
      </w:r>
      <w:r w:rsidR="007804F0">
        <w:t>AMD</w:t>
      </w:r>
      <w:r>
        <w:t xml:space="preserve"> </w:t>
      </w:r>
      <w:r w:rsidR="007804F0">
        <w:t>8</w:t>
      </w:r>
      <w:r>
        <w:t xml:space="preserve"> by 2024 and </w:t>
      </w:r>
      <w:r w:rsidR="007804F0">
        <w:t>AMD</w:t>
      </w:r>
      <w:r>
        <w:t xml:space="preserve"> </w:t>
      </w:r>
      <w:r w:rsidR="007804F0">
        <w:t>99</w:t>
      </w:r>
      <w:r>
        <w:t xml:space="preserve"> by 2034 (</w:t>
      </w:r>
      <w:r w:rsidRPr="0012164E">
        <w:rPr>
          <w:i/>
          <w:iCs/>
        </w:rPr>
        <w:t>WHO FCTC Article 8</w:t>
      </w:r>
      <w:r>
        <w:t>)</w:t>
      </w:r>
    </w:p>
    <w:p w14:paraId="49A0F702" w14:textId="6A9F0D3D" w:rsidR="00BE0F05" w:rsidRDefault="00BE0F05" w:rsidP="00BE0F05">
      <w:pPr>
        <w:pStyle w:val="ListParagraph"/>
        <w:numPr>
          <w:ilvl w:val="1"/>
          <w:numId w:val="26"/>
        </w:numPr>
        <w:spacing w:after="120" w:line="240" w:lineRule="auto"/>
        <w:contextualSpacing w:val="0"/>
        <w:jc w:val="both"/>
      </w:pPr>
      <w:r>
        <w:t xml:space="preserve">For every </w:t>
      </w:r>
      <w:r w:rsidR="007804F0">
        <w:t xml:space="preserve">Armenian dram </w:t>
      </w:r>
      <w:r>
        <w:t xml:space="preserve">invested in </w:t>
      </w:r>
      <w:r w:rsidRPr="0012164E">
        <w:rPr>
          <w:b/>
          <w:bCs/>
        </w:rPr>
        <w:t>raising tobacco taxes</w:t>
      </w:r>
      <w:r>
        <w:t xml:space="preserve">, </w:t>
      </w:r>
      <w:r w:rsidR="007804F0">
        <w:t>Armenia</w:t>
      </w:r>
      <w:r>
        <w:t xml:space="preserve"> will receive </w:t>
      </w:r>
      <w:r w:rsidR="007804F0">
        <w:t>AMD 377</w:t>
      </w:r>
      <w:r>
        <w:t xml:space="preserve"> by 2024 and </w:t>
      </w:r>
      <w:r w:rsidR="007804F0">
        <w:t>AMD 888</w:t>
      </w:r>
      <w:r>
        <w:t xml:space="preserve"> by 2034 (</w:t>
      </w:r>
      <w:r w:rsidRPr="0012164E">
        <w:rPr>
          <w:i/>
          <w:iCs/>
        </w:rPr>
        <w:t>WHO FCTC Article 6)</w:t>
      </w:r>
    </w:p>
    <w:p w14:paraId="3F30EC21" w14:textId="085053D4" w:rsidR="00BE0F05" w:rsidRDefault="00BE0F05" w:rsidP="00BE0F05">
      <w:pPr>
        <w:pStyle w:val="ListParagraph"/>
        <w:numPr>
          <w:ilvl w:val="1"/>
          <w:numId w:val="26"/>
        </w:numPr>
        <w:spacing w:after="120" w:line="240" w:lineRule="auto"/>
        <w:contextualSpacing w:val="0"/>
        <w:jc w:val="both"/>
      </w:pPr>
      <w:r>
        <w:t xml:space="preserve">For every </w:t>
      </w:r>
      <w:r w:rsidR="007804F0">
        <w:t xml:space="preserve">Armenian dram </w:t>
      </w:r>
      <w:r>
        <w:t>invested in</w:t>
      </w:r>
      <w:r w:rsidRPr="0012164E">
        <w:rPr>
          <w:b/>
          <w:bCs/>
        </w:rPr>
        <w:t xml:space="preserve"> tobacco advertising bans</w:t>
      </w:r>
      <w:r>
        <w:t xml:space="preserve">, </w:t>
      </w:r>
      <w:r w:rsidR="007804F0">
        <w:t>Armenia</w:t>
      </w:r>
      <w:r>
        <w:t xml:space="preserve"> will receive </w:t>
      </w:r>
      <w:r w:rsidR="007804F0">
        <w:t>AMD</w:t>
      </w:r>
      <w:r>
        <w:t xml:space="preserve"> </w:t>
      </w:r>
      <w:r w:rsidR="007804F0">
        <w:t xml:space="preserve">70 </w:t>
      </w:r>
      <w:r>
        <w:t xml:space="preserve">by 2024 and </w:t>
      </w:r>
      <w:r w:rsidR="007804F0">
        <w:t>AMD</w:t>
      </w:r>
      <w:r>
        <w:t xml:space="preserve"> 3</w:t>
      </w:r>
      <w:r w:rsidR="007804F0">
        <w:t>83</w:t>
      </w:r>
      <w:r>
        <w:t xml:space="preserve"> by 2034 (</w:t>
      </w:r>
      <w:r w:rsidRPr="0012164E">
        <w:rPr>
          <w:i/>
          <w:iCs/>
        </w:rPr>
        <w:t>WHO FCTC Article 13</w:t>
      </w:r>
      <w:r>
        <w:t>)</w:t>
      </w:r>
    </w:p>
    <w:p w14:paraId="52DF971D" w14:textId="5D917D4D" w:rsidR="00BE0F05" w:rsidRDefault="00BE0F05" w:rsidP="00BE0F05">
      <w:pPr>
        <w:pStyle w:val="ListParagraph"/>
        <w:numPr>
          <w:ilvl w:val="1"/>
          <w:numId w:val="26"/>
        </w:numPr>
        <w:spacing w:after="120" w:line="240" w:lineRule="auto"/>
        <w:contextualSpacing w:val="0"/>
        <w:jc w:val="both"/>
      </w:pPr>
      <w:r>
        <w:t xml:space="preserve">For every </w:t>
      </w:r>
      <w:r w:rsidR="007804F0">
        <w:t>Armenian dram</w:t>
      </w:r>
      <w:r>
        <w:t xml:space="preserve"> invested in</w:t>
      </w:r>
      <w:r w:rsidRPr="0012164E">
        <w:rPr>
          <w:b/>
          <w:bCs/>
        </w:rPr>
        <w:t xml:space="preserve"> a mass media</w:t>
      </w:r>
      <w:r>
        <w:rPr>
          <w:b/>
          <w:bCs/>
        </w:rPr>
        <w:t xml:space="preserve"> tobacco</w:t>
      </w:r>
      <w:r w:rsidRPr="0012164E">
        <w:rPr>
          <w:b/>
          <w:bCs/>
        </w:rPr>
        <w:t xml:space="preserve"> campaign</w:t>
      </w:r>
      <w:r>
        <w:t xml:space="preserve">, </w:t>
      </w:r>
      <w:r w:rsidR="007804F0">
        <w:t>Armenia</w:t>
      </w:r>
      <w:r>
        <w:t xml:space="preserve"> will receive </w:t>
      </w:r>
      <w:r w:rsidR="007804F0">
        <w:t>AMD</w:t>
      </w:r>
      <w:r>
        <w:t xml:space="preserve"> </w:t>
      </w:r>
      <w:r w:rsidR="007804F0">
        <w:t>23</w:t>
      </w:r>
      <w:r>
        <w:t xml:space="preserve"> by 2024 and </w:t>
      </w:r>
      <w:r w:rsidR="007804F0">
        <w:t>AMD</w:t>
      </w:r>
      <w:r>
        <w:t xml:space="preserve"> </w:t>
      </w:r>
      <w:r w:rsidR="007804F0">
        <w:t>292</w:t>
      </w:r>
      <w:r>
        <w:t xml:space="preserve"> by 2034 (</w:t>
      </w:r>
      <w:r w:rsidRPr="0012164E">
        <w:rPr>
          <w:i/>
          <w:iCs/>
        </w:rPr>
        <w:t>WHO FCTC Article 12</w:t>
      </w:r>
      <w:r>
        <w:t>)</w:t>
      </w:r>
    </w:p>
    <w:p w14:paraId="66B5074E" w14:textId="7644841A" w:rsidR="00BE0F05" w:rsidRDefault="00BE0F05" w:rsidP="00BE0F05">
      <w:pPr>
        <w:pStyle w:val="ListParagraph"/>
        <w:numPr>
          <w:ilvl w:val="1"/>
          <w:numId w:val="26"/>
        </w:numPr>
        <w:spacing w:after="120" w:line="240" w:lineRule="auto"/>
        <w:contextualSpacing w:val="0"/>
        <w:jc w:val="both"/>
      </w:pPr>
      <w:r>
        <w:t xml:space="preserve">For every </w:t>
      </w:r>
      <w:r w:rsidR="007804F0">
        <w:t xml:space="preserve">Armenian dram </w:t>
      </w:r>
      <w:r>
        <w:t xml:space="preserve">invested in </w:t>
      </w:r>
      <w:r w:rsidRPr="0012164E">
        <w:rPr>
          <w:b/>
          <w:bCs/>
        </w:rPr>
        <w:t>plain packaging</w:t>
      </w:r>
      <w:r>
        <w:t xml:space="preserve">, </w:t>
      </w:r>
      <w:r w:rsidR="007804F0">
        <w:t>Armenia</w:t>
      </w:r>
      <w:r>
        <w:t xml:space="preserve"> will receive </w:t>
      </w:r>
      <w:r w:rsidR="007804F0">
        <w:t>AMD 56</w:t>
      </w:r>
      <w:r>
        <w:t xml:space="preserve"> by 2024 and </w:t>
      </w:r>
      <w:r w:rsidR="007804F0">
        <w:t>AMD 216</w:t>
      </w:r>
      <w:r>
        <w:t xml:space="preserve"> by 2034. (</w:t>
      </w:r>
      <w:r w:rsidRPr="0012164E">
        <w:rPr>
          <w:i/>
          <w:iCs/>
        </w:rPr>
        <w:t>WHO FCTC Article 11: Guidelines, and Article 13</w:t>
      </w:r>
      <w:r>
        <w:t>)</w:t>
      </w:r>
    </w:p>
    <w:p w14:paraId="60FFEA18" w14:textId="0EB22262" w:rsidR="00863A24" w:rsidRDefault="00BE0F05" w:rsidP="00F36D3D">
      <w:pPr>
        <w:pStyle w:val="ListParagraph"/>
        <w:numPr>
          <w:ilvl w:val="1"/>
          <w:numId w:val="26"/>
        </w:numPr>
        <w:spacing w:after="120" w:line="240" w:lineRule="auto"/>
        <w:contextualSpacing w:val="0"/>
        <w:jc w:val="both"/>
      </w:pPr>
      <w:r>
        <w:t xml:space="preserve">For every </w:t>
      </w:r>
      <w:r w:rsidR="007804F0">
        <w:t xml:space="preserve">Armenian dram </w:t>
      </w:r>
      <w:r>
        <w:t>invested in</w:t>
      </w:r>
      <w:r w:rsidRPr="0012164E">
        <w:rPr>
          <w:b/>
          <w:bCs/>
        </w:rPr>
        <w:t xml:space="preserve"> </w:t>
      </w:r>
      <w:r>
        <w:rPr>
          <w:b/>
          <w:bCs/>
        </w:rPr>
        <w:t>cessation: brief advice to quit</w:t>
      </w:r>
      <w:r>
        <w:t xml:space="preserve"> </w:t>
      </w:r>
      <w:r w:rsidR="007804F0">
        <w:t>Armenia</w:t>
      </w:r>
      <w:r>
        <w:t xml:space="preserve"> will receive </w:t>
      </w:r>
      <w:r w:rsidR="007804F0">
        <w:t>AMD</w:t>
      </w:r>
      <w:r>
        <w:t xml:space="preserve"> </w:t>
      </w:r>
      <w:r w:rsidR="007804F0">
        <w:t>3.3</w:t>
      </w:r>
      <w:r>
        <w:t xml:space="preserve"> by 2024 and </w:t>
      </w:r>
      <w:r w:rsidR="007804F0">
        <w:t>AMD</w:t>
      </w:r>
      <w:r>
        <w:t xml:space="preserve"> </w:t>
      </w:r>
      <w:r w:rsidR="007804F0">
        <w:t>13</w:t>
      </w:r>
      <w:r>
        <w:t xml:space="preserve"> by 2034 (</w:t>
      </w:r>
      <w:r w:rsidRPr="0012164E">
        <w:rPr>
          <w:i/>
          <w:iCs/>
        </w:rPr>
        <w:t>WHO FCTC Article 1</w:t>
      </w:r>
      <w:r>
        <w:rPr>
          <w:i/>
          <w:iCs/>
        </w:rPr>
        <w:t>4</w:t>
      </w:r>
      <w:r>
        <w:t>)</w:t>
      </w:r>
    </w:p>
    <w:p w14:paraId="445AFA22" w14:textId="3A7621EA" w:rsidR="00BE2F26" w:rsidRDefault="00863A24" w:rsidP="00863A24">
      <w:pPr>
        <w:jc w:val="center"/>
      </w:pPr>
      <w:r>
        <w:t xml:space="preserve"># # # </w:t>
      </w:r>
      <w:bookmarkStart w:id="1" w:name="_SUGGESTED_SOCIAL_MEDIA"/>
      <w:bookmarkEnd w:id="1"/>
    </w:p>
    <w:sectPr w:rsidR="00BE2F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FD38" w14:textId="77777777" w:rsidR="00903AB1" w:rsidRDefault="00903AB1" w:rsidP="00E13F84">
      <w:pPr>
        <w:spacing w:after="0" w:line="240" w:lineRule="auto"/>
      </w:pPr>
      <w:r>
        <w:separator/>
      </w:r>
    </w:p>
  </w:endnote>
  <w:endnote w:type="continuationSeparator" w:id="0">
    <w:p w14:paraId="49B1CD95" w14:textId="77777777" w:rsidR="00903AB1" w:rsidRDefault="00903AB1" w:rsidP="00E1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201399"/>
      <w:docPartObj>
        <w:docPartGallery w:val="Page Numbers (Bottom of Page)"/>
        <w:docPartUnique/>
      </w:docPartObj>
    </w:sdtPr>
    <w:sdtEndPr>
      <w:rPr>
        <w:noProof/>
      </w:rPr>
    </w:sdtEndPr>
    <w:sdtContent>
      <w:p w14:paraId="3AF598ED" w14:textId="6D62E34A" w:rsidR="00834504" w:rsidRDefault="004616DF">
        <w:pPr>
          <w:pStyle w:val="Footer"/>
          <w:jc w:val="center"/>
        </w:pPr>
        <w:r>
          <w:rPr>
            <w:noProof/>
          </w:rPr>
          <w:drawing>
            <wp:anchor distT="0" distB="0" distL="114300" distR="114300" simplePos="0" relativeHeight="251664384" behindDoc="1" locked="0" layoutInCell="1" allowOverlap="1" wp14:anchorId="05B675BD" wp14:editId="6C2B00A7">
              <wp:simplePos x="0" y="0"/>
              <wp:positionH relativeFrom="column">
                <wp:posOffset>2180147</wp:posOffset>
              </wp:positionH>
              <wp:positionV relativeFrom="paragraph">
                <wp:posOffset>169545</wp:posOffset>
              </wp:positionV>
              <wp:extent cx="1414780" cy="269240"/>
              <wp:effectExtent l="0" t="0" r="0" b="0"/>
              <wp:wrapTight wrapText="bothSides">
                <wp:wrapPolygon edited="0">
                  <wp:start x="0" y="0"/>
                  <wp:lineTo x="0" y="20377"/>
                  <wp:lineTo x="21329" y="20377"/>
                  <wp:lineTo x="21329" y="0"/>
                  <wp:lineTo x="0" y="0"/>
                </wp:wrapPolygon>
              </wp:wrapTight>
              <wp:docPr id="1" name="Picture 2" descr="Ico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Ico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2692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445217D" w14:textId="77777777" w:rsidR="00834504" w:rsidRDefault="0083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6F00" w14:textId="77777777" w:rsidR="00903AB1" w:rsidRDefault="00903AB1" w:rsidP="00E13F84">
      <w:pPr>
        <w:spacing w:after="0" w:line="240" w:lineRule="auto"/>
      </w:pPr>
      <w:r>
        <w:separator/>
      </w:r>
    </w:p>
  </w:footnote>
  <w:footnote w:type="continuationSeparator" w:id="0">
    <w:p w14:paraId="3DC65FDA" w14:textId="77777777" w:rsidR="00903AB1" w:rsidRDefault="00903AB1" w:rsidP="00E13F84">
      <w:pPr>
        <w:spacing w:after="0" w:line="240" w:lineRule="auto"/>
      </w:pPr>
      <w:r>
        <w:continuationSeparator/>
      </w:r>
    </w:p>
  </w:footnote>
  <w:footnote w:id="1">
    <w:p w14:paraId="07625D30" w14:textId="77777777" w:rsidR="007804F0" w:rsidRDefault="007804F0" w:rsidP="007804F0">
      <w:pPr>
        <w:pBdr>
          <w:top w:val="nil"/>
          <w:left w:val="nil"/>
          <w:bottom w:val="nil"/>
          <w:right w:val="nil"/>
          <w:between w:val="nil"/>
        </w:pBdr>
        <w:spacing w:after="0" w:line="240" w:lineRule="auto"/>
        <w:rPr>
          <w:color w:val="000000"/>
          <w:sz w:val="18"/>
          <w:szCs w:val="18"/>
        </w:rPr>
      </w:pPr>
      <w:r>
        <w:rPr>
          <w:rStyle w:val="FootnoteReference"/>
        </w:rPr>
        <w:footnoteRef/>
      </w:r>
      <w:r>
        <w:rPr>
          <w:rFonts w:ascii="Calibri" w:eastAsia="Calibri" w:hAnsi="Calibri" w:cs="Calibri"/>
          <w:color w:val="000000"/>
          <w:sz w:val="18"/>
          <w:szCs w:val="18"/>
        </w:rPr>
        <w:t xml:space="preserve"> 4.2% of GDP burden due to NCDs, and 4.5% GDP contraction forecasted due to COVID-19 according to the International Monetary Fund, Real GDP growth, IMF Data Mapper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2BDC" w14:textId="7999C353" w:rsidR="00834504" w:rsidRDefault="00F36D3D" w:rsidP="00940A6F">
    <w:pPr>
      <w:pStyle w:val="Header"/>
      <w:tabs>
        <w:tab w:val="clear" w:pos="9360"/>
      </w:tabs>
    </w:pPr>
    <w:r>
      <w:tab/>
    </w:r>
    <w:r w:rsidR="00940A6F">
      <w:rPr>
        <w:noProof/>
      </w:rPr>
      <w:drawing>
        <wp:inline distT="0" distB="0" distL="0" distR="0" wp14:anchorId="6B52B74E" wp14:editId="14436C2D">
          <wp:extent cx="740410" cy="710565"/>
          <wp:effectExtent l="0" t="0" r="0"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10565"/>
                  </a:xfrm>
                  <a:prstGeom prst="rect">
                    <a:avLst/>
                  </a:prstGeom>
                  <a:noFill/>
                  <a:ln>
                    <a:noFill/>
                  </a:ln>
                </pic:spPr>
              </pic:pic>
            </a:graphicData>
          </a:graphic>
        </wp:inline>
      </w:drawing>
    </w:r>
    <w:r w:rsidR="00834504" w:rsidRPr="001251B5">
      <w:rPr>
        <w:noProof/>
      </w:rPr>
      <w:drawing>
        <wp:anchor distT="0" distB="0" distL="114300" distR="114300" simplePos="0" relativeHeight="251660288" behindDoc="0" locked="0" layoutInCell="1" allowOverlap="1" wp14:anchorId="41320FA3" wp14:editId="52E60D55">
          <wp:simplePos x="0" y="0"/>
          <wp:positionH relativeFrom="margin">
            <wp:posOffset>4076700</wp:posOffset>
          </wp:positionH>
          <wp:positionV relativeFrom="paragraph">
            <wp:posOffset>-157480</wp:posOffset>
          </wp:positionV>
          <wp:extent cx="866775" cy="433070"/>
          <wp:effectExtent l="0" t="0" r="0" b="5080"/>
          <wp:wrapNone/>
          <wp:docPr id="7" name="Рисунок 13"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0A8889B7-9E6F-B447-9624-DEE5AE75C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Изображение выглядит как текст&#10;&#10;Автоматически созданное описание">
                    <a:extLst>
                      <a:ext uri="{FF2B5EF4-FFF2-40B4-BE49-F238E27FC236}">
                        <a16:creationId xmlns:a16="http://schemas.microsoft.com/office/drawing/2014/main" id="{0A8889B7-9E6F-B447-9624-DEE5AE75C820}"/>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866775" cy="433070"/>
                  </a:xfrm>
                  <a:prstGeom prst="rect">
                    <a:avLst/>
                  </a:prstGeom>
                </pic:spPr>
              </pic:pic>
            </a:graphicData>
          </a:graphic>
          <wp14:sizeRelH relativeFrom="margin">
            <wp14:pctWidth>0</wp14:pctWidth>
          </wp14:sizeRelH>
          <wp14:sizeRelV relativeFrom="margin">
            <wp14:pctHeight>0</wp14:pctHeight>
          </wp14:sizeRelV>
        </wp:anchor>
      </w:drawing>
    </w:r>
    <w:r w:rsidR="00834504" w:rsidRPr="001251B5">
      <w:rPr>
        <w:noProof/>
      </w:rPr>
      <w:drawing>
        <wp:anchor distT="0" distB="0" distL="114300" distR="114300" simplePos="0" relativeHeight="251661312" behindDoc="0" locked="0" layoutInCell="1" allowOverlap="1" wp14:anchorId="566A9DEC" wp14:editId="285BB17A">
          <wp:simplePos x="0" y="0"/>
          <wp:positionH relativeFrom="margin">
            <wp:posOffset>1447800</wp:posOffset>
          </wp:positionH>
          <wp:positionV relativeFrom="paragraph">
            <wp:posOffset>-47625</wp:posOffset>
          </wp:positionV>
          <wp:extent cx="505460" cy="247650"/>
          <wp:effectExtent l="0" t="0" r="8890" b="0"/>
          <wp:wrapNone/>
          <wp:docPr id="8" name="Picture 3" descr="Logo&#10;&#10;Description automatically generated">
            <a:extLst xmlns:a="http://schemas.openxmlformats.org/drawingml/2006/main">
              <a:ext uri="{FF2B5EF4-FFF2-40B4-BE49-F238E27FC236}">
                <a16:creationId xmlns:a16="http://schemas.microsoft.com/office/drawing/2014/main" id="{C77842AD-62EB-4098-BD79-0F27B4B881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C77842AD-62EB-4098-BD79-0F27B4B8812A}"/>
                      </a:ext>
                    </a:extLst>
                  </pic:cNvPr>
                  <pic:cNvPicPr>
                    <a:picLocks noChangeAspect="1"/>
                  </pic:cNvPicPr>
                </pic:nvPicPr>
                <pic:blipFill>
                  <a:blip r:embed="rId3"/>
                  <a:stretch>
                    <a:fillRect/>
                  </a:stretch>
                </pic:blipFill>
                <pic:spPr>
                  <a:xfrm>
                    <a:off x="0" y="0"/>
                    <a:ext cx="505460" cy="247650"/>
                  </a:xfrm>
                  <a:prstGeom prst="rect">
                    <a:avLst/>
                  </a:prstGeom>
                </pic:spPr>
              </pic:pic>
            </a:graphicData>
          </a:graphic>
          <wp14:sizeRelH relativeFrom="margin">
            <wp14:pctWidth>0</wp14:pctWidth>
          </wp14:sizeRelH>
          <wp14:sizeRelV relativeFrom="margin">
            <wp14:pctHeight>0</wp14:pctHeight>
          </wp14:sizeRelV>
        </wp:anchor>
      </w:drawing>
    </w:r>
    <w:r w:rsidR="00834504" w:rsidRPr="001251B5">
      <w:rPr>
        <w:noProof/>
      </w:rPr>
      <w:drawing>
        <wp:anchor distT="0" distB="0" distL="114300" distR="114300" simplePos="0" relativeHeight="251662336" behindDoc="0" locked="0" layoutInCell="1" allowOverlap="1" wp14:anchorId="562CFC0C" wp14:editId="31900DFB">
          <wp:simplePos x="0" y="0"/>
          <wp:positionH relativeFrom="margin">
            <wp:align>left</wp:align>
          </wp:positionH>
          <wp:positionV relativeFrom="paragraph">
            <wp:posOffset>-45085</wp:posOffset>
          </wp:positionV>
          <wp:extent cx="819150" cy="257746"/>
          <wp:effectExtent l="0" t="0" r="0" b="9525"/>
          <wp:wrapNone/>
          <wp:docPr id="5" name="Picture 4" descr="A picture containing graphical user interface&#10;&#10;Description automatically generated">
            <a:extLst xmlns:a="http://schemas.openxmlformats.org/drawingml/2006/main">
              <a:ext uri="{FF2B5EF4-FFF2-40B4-BE49-F238E27FC236}">
                <a16:creationId xmlns:a16="http://schemas.microsoft.com/office/drawing/2014/main" id="{20D444F5-4B47-4330-A1C8-EA04E0504C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20D444F5-4B47-4330-A1C8-EA04E0504CEE}"/>
                      </a:ext>
                    </a:extLst>
                  </pic:cNvPr>
                  <pic:cNvPicPr>
                    <a:picLocks noChangeAspect="1"/>
                  </pic:cNvPicPr>
                </pic:nvPicPr>
                <pic:blipFill>
                  <a:blip r:embed="rId4"/>
                  <a:stretch>
                    <a:fillRect/>
                  </a:stretch>
                </pic:blipFill>
                <pic:spPr>
                  <a:xfrm>
                    <a:off x="0" y="0"/>
                    <a:ext cx="819150" cy="257746"/>
                  </a:xfrm>
                  <a:prstGeom prst="rect">
                    <a:avLst/>
                  </a:prstGeom>
                </pic:spPr>
              </pic:pic>
            </a:graphicData>
          </a:graphic>
          <wp14:sizeRelH relativeFrom="margin">
            <wp14:pctWidth>0</wp14:pctWidth>
          </wp14:sizeRelH>
          <wp14:sizeRelV relativeFrom="margin">
            <wp14:pctHeight>0</wp14:pctHeight>
          </wp14:sizeRelV>
        </wp:anchor>
      </w:drawing>
    </w:r>
    <w:r w:rsidR="00834504" w:rsidRPr="001251B5">
      <w:rPr>
        <w:noProof/>
      </w:rPr>
      <w:drawing>
        <wp:anchor distT="0" distB="0" distL="114300" distR="114300" simplePos="0" relativeHeight="251659264" behindDoc="0" locked="0" layoutInCell="1" allowOverlap="1" wp14:anchorId="72FF5DBB" wp14:editId="74133C28">
          <wp:simplePos x="0" y="0"/>
          <wp:positionH relativeFrom="margin">
            <wp:align>right</wp:align>
          </wp:positionH>
          <wp:positionV relativeFrom="paragraph">
            <wp:posOffset>-228267</wp:posOffset>
          </wp:positionV>
          <wp:extent cx="241070" cy="488167"/>
          <wp:effectExtent l="0" t="0" r="6985" b="7620"/>
          <wp:wrapNone/>
          <wp:docPr id="2" name="Picture 6" descr="A picture containing drawing&#10;&#10;Description automatically generated">
            <a:extLst xmlns:a="http://schemas.openxmlformats.org/drawingml/2006/main">
              <a:ext uri="{FF2B5EF4-FFF2-40B4-BE49-F238E27FC236}">
                <a16:creationId xmlns:a16="http://schemas.microsoft.com/office/drawing/2014/main" id="{6117A948-CDEF-1B40-90FA-A39110CDF3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 picture containing drawing&#10;&#10;Description automatically generated">
                    <a:extLst>
                      <a:ext uri="{FF2B5EF4-FFF2-40B4-BE49-F238E27FC236}">
                        <a16:creationId xmlns:a16="http://schemas.microsoft.com/office/drawing/2014/main" id="{6117A948-CDEF-1B40-90FA-A39110CDF3F5}"/>
                      </a:ext>
                    </a:extLst>
                  </pic:cNvPr>
                  <pic:cNvPicPr>
                    <a:picLocks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241070" cy="488167"/>
                  </a:xfrm>
                  <a:prstGeom prst="rect">
                    <a:avLst/>
                  </a:prstGeom>
                </pic:spPr>
              </pic:pic>
            </a:graphicData>
          </a:graphic>
          <wp14:sizeRelH relativeFrom="margin">
            <wp14:pctWidth>0</wp14:pctWidth>
          </wp14:sizeRelH>
          <wp14:sizeRelV relativeFrom="margin">
            <wp14:pctHeight>0</wp14:pctHeight>
          </wp14:sizeRelV>
        </wp:anchor>
      </w:drawing>
    </w:r>
    <w:r w:rsidR="00940A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7CA"/>
    <w:multiLevelType w:val="hybridMultilevel"/>
    <w:tmpl w:val="8EF6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1B6"/>
    <w:multiLevelType w:val="multilevel"/>
    <w:tmpl w:val="5CEC20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AC5315"/>
    <w:multiLevelType w:val="multilevel"/>
    <w:tmpl w:val="318409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1CD1A4A"/>
    <w:multiLevelType w:val="multilevel"/>
    <w:tmpl w:val="9BE4E4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37F15BF"/>
    <w:multiLevelType w:val="hybridMultilevel"/>
    <w:tmpl w:val="1B7A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5067A"/>
    <w:multiLevelType w:val="hybridMultilevel"/>
    <w:tmpl w:val="4C7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35FB"/>
    <w:multiLevelType w:val="multilevel"/>
    <w:tmpl w:val="162008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8150182"/>
    <w:multiLevelType w:val="hybridMultilevel"/>
    <w:tmpl w:val="D6A28ED2"/>
    <w:lvl w:ilvl="0" w:tplc="FBE8AF60">
      <w:start w:val="30"/>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AF7428"/>
    <w:multiLevelType w:val="hybridMultilevel"/>
    <w:tmpl w:val="AF442EA2"/>
    <w:lvl w:ilvl="0" w:tplc="867CE6B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B0E55"/>
    <w:multiLevelType w:val="multilevel"/>
    <w:tmpl w:val="055CEB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C9254CD"/>
    <w:multiLevelType w:val="multilevel"/>
    <w:tmpl w:val="08783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D75D5A"/>
    <w:multiLevelType w:val="hybridMultilevel"/>
    <w:tmpl w:val="9AD0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B7BBC"/>
    <w:multiLevelType w:val="multilevel"/>
    <w:tmpl w:val="484030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516717C"/>
    <w:multiLevelType w:val="multilevel"/>
    <w:tmpl w:val="EE92F3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EBB0ACB"/>
    <w:multiLevelType w:val="multilevel"/>
    <w:tmpl w:val="9148EA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34E6E94"/>
    <w:multiLevelType w:val="multilevel"/>
    <w:tmpl w:val="EEA6E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E36982"/>
    <w:multiLevelType w:val="multilevel"/>
    <w:tmpl w:val="DF660F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E4810EE"/>
    <w:multiLevelType w:val="hybridMultilevel"/>
    <w:tmpl w:val="A510C01E"/>
    <w:lvl w:ilvl="0" w:tplc="FBE8AF60">
      <w:start w:val="30"/>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646C2B"/>
    <w:multiLevelType w:val="hybridMultilevel"/>
    <w:tmpl w:val="111CB7AE"/>
    <w:lvl w:ilvl="0" w:tplc="309C4B4C">
      <w:start w:val="1"/>
      <w:numFmt w:val="bullet"/>
      <w:lvlText w:val="●"/>
      <w:lvlJc w:val="left"/>
      <w:pPr>
        <w:ind w:left="720" w:hanging="360"/>
      </w:pPr>
      <w:rPr>
        <w:rFonts w:ascii="Calibri" w:hAnsi="Calibri" w:hint="default"/>
      </w:rPr>
    </w:lvl>
    <w:lvl w:ilvl="1" w:tplc="2188E2BC">
      <w:start w:val="1"/>
      <w:numFmt w:val="bullet"/>
      <w:lvlText w:val="o"/>
      <w:lvlJc w:val="left"/>
      <w:pPr>
        <w:ind w:left="1440" w:hanging="360"/>
      </w:pPr>
      <w:rPr>
        <w:rFonts w:ascii="Courier New" w:hAnsi="Courier New" w:hint="default"/>
      </w:rPr>
    </w:lvl>
    <w:lvl w:ilvl="2" w:tplc="DA6C1296">
      <w:start w:val="1"/>
      <w:numFmt w:val="bullet"/>
      <w:lvlText w:val=""/>
      <w:lvlJc w:val="left"/>
      <w:pPr>
        <w:ind w:left="2160" w:hanging="360"/>
      </w:pPr>
      <w:rPr>
        <w:rFonts w:ascii="Wingdings" w:hAnsi="Wingdings" w:hint="default"/>
      </w:rPr>
    </w:lvl>
    <w:lvl w:ilvl="3" w:tplc="698E02EE">
      <w:start w:val="1"/>
      <w:numFmt w:val="bullet"/>
      <w:lvlText w:val=""/>
      <w:lvlJc w:val="left"/>
      <w:pPr>
        <w:ind w:left="2880" w:hanging="360"/>
      </w:pPr>
      <w:rPr>
        <w:rFonts w:ascii="Symbol" w:hAnsi="Symbol" w:hint="default"/>
      </w:rPr>
    </w:lvl>
    <w:lvl w:ilvl="4" w:tplc="E6806528">
      <w:start w:val="1"/>
      <w:numFmt w:val="bullet"/>
      <w:lvlText w:val="o"/>
      <w:lvlJc w:val="left"/>
      <w:pPr>
        <w:ind w:left="3600" w:hanging="360"/>
      </w:pPr>
      <w:rPr>
        <w:rFonts w:ascii="Courier New" w:hAnsi="Courier New" w:hint="default"/>
      </w:rPr>
    </w:lvl>
    <w:lvl w:ilvl="5" w:tplc="148A3838">
      <w:start w:val="1"/>
      <w:numFmt w:val="bullet"/>
      <w:lvlText w:val=""/>
      <w:lvlJc w:val="left"/>
      <w:pPr>
        <w:ind w:left="4320" w:hanging="360"/>
      </w:pPr>
      <w:rPr>
        <w:rFonts w:ascii="Wingdings" w:hAnsi="Wingdings" w:hint="default"/>
      </w:rPr>
    </w:lvl>
    <w:lvl w:ilvl="6" w:tplc="48EE3AE0">
      <w:start w:val="1"/>
      <w:numFmt w:val="bullet"/>
      <w:lvlText w:val=""/>
      <w:lvlJc w:val="left"/>
      <w:pPr>
        <w:ind w:left="5040" w:hanging="360"/>
      </w:pPr>
      <w:rPr>
        <w:rFonts w:ascii="Symbol" w:hAnsi="Symbol" w:hint="default"/>
      </w:rPr>
    </w:lvl>
    <w:lvl w:ilvl="7" w:tplc="3686FACA">
      <w:start w:val="1"/>
      <w:numFmt w:val="bullet"/>
      <w:lvlText w:val="o"/>
      <w:lvlJc w:val="left"/>
      <w:pPr>
        <w:ind w:left="5760" w:hanging="360"/>
      </w:pPr>
      <w:rPr>
        <w:rFonts w:ascii="Courier New" w:hAnsi="Courier New" w:hint="default"/>
      </w:rPr>
    </w:lvl>
    <w:lvl w:ilvl="8" w:tplc="DBACCE54">
      <w:start w:val="1"/>
      <w:numFmt w:val="bullet"/>
      <w:lvlText w:val=""/>
      <w:lvlJc w:val="left"/>
      <w:pPr>
        <w:ind w:left="6480" w:hanging="360"/>
      </w:pPr>
      <w:rPr>
        <w:rFonts w:ascii="Wingdings" w:hAnsi="Wingdings" w:hint="default"/>
      </w:rPr>
    </w:lvl>
  </w:abstractNum>
  <w:abstractNum w:abstractNumId="19" w15:restartNumberingAfterBreak="0">
    <w:nsid w:val="423D5BDB"/>
    <w:multiLevelType w:val="hybridMultilevel"/>
    <w:tmpl w:val="E04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87864"/>
    <w:multiLevelType w:val="multilevel"/>
    <w:tmpl w:val="DF08EA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5A33405"/>
    <w:multiLevelType w:val="hybridMultilevel"/>
    <w:tmpl w:val="987C3CC0"/>
    <w:lvl w:ilvl="0" w:tplc="266C4DF4">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5A0C0D"/>
    <w:multiLevelType w:val="multilevel"/>
    <w:tmpl w:val="1BE8F3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DD40BCA"/>
    <w:multiLevelType w:val="multilevel"/>
    <w:tmpl w:val="EC44A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0B3170F"/>
    <w:multiLevelType w:val="hybridMultilevel"/>
    <w:tmpl w:val="BC9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15131"/>
    <w:multiLevelType w:val="multilevel"/>
    <w:tmpl w:val="168A0D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73E2089"/>
    <w:multiLevelType w:val="hybridMultilevel"/>
    <w:tmpl w:val="EA984C66"/>
    <w:lvl w:ilvl="0" w:tplc="309C4B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CB6"/>
    <w:multiLevelType w:val="hybridMultilevel"/>
    <w:tmpl w:val="3A8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926B6"/>
    <w:multiLevelType w:val="multilevel"/>
    <w:tmpl w:val="8E4C9C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4E7389D"/>
    <w:multiLevelType w:val="hybridMultilevel"/>
    <w:tmpl w:val="AD52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F5111"/>
    <w:multiLevelType w:val="hybridMultilevel"/>
    <w:tmpl w:val="235AB4B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95B20"/>
    <w:multiLevelType w:val="hybridMultilevel"/>
    <w:tmpl w:val="AD8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C7F80"/>
    <w:multiLevelType w:val="hybridMultilevel"/>
    <w:tmpl w:val="5F3C18B4"/>
    <w:lvl w:ilvl="0" w:tplc="FE7446A4">
      <w:start w:val="1"/>
      <w:numFmt w:val="bullet"/>
      <w:lvlText w:val="●"/>
      <w:lvlJc w:val="left"/>
      <w:pPr>
        <w:ind w:left="720" w:hanging="360"/>
      </w:pPr>
      <w:rPr>
        <w:rFonts w:ascii="Calibri" w:hAnsi="Calibri" w:hint="default"/>
      </w:rPr>
    </w:lvl>
    <w:lvl w:ilvl="1" w:tplc="92E6F7C2">
      <w:start w:val="1"/>
      <w:numFmt w:val="bullet"/>
      <w:lvlText w:val="o"/>
      <w:lvlJc w:val="left"/>
      <w:pPr>
        <w:ind w:left="1440" w:hanging="360"/>
      </w:pPr>
      <w:rPr>
        <w:rFonts w:ascii="Courier New" w:hAnsi="Courier New" w:hint="default"/>
      </w:rPr>
    </w:lvl>
    <w:lvl w:ilvl="2" w:tplc="85F4524E">
      <w:start w:val="1"/>
      <w:numFmt w:val="bullet"/>
      <w:lvlText w:val=""/>
      <w:lvlJc w:val="left"/>
      <w:pPr>
        <w:ind w:left="2160" w:hanging="360"/>
      </w:pPr>
      <w:rPr>
        <w:rFonts w:ascii="Wingdings" w:hAnsi="Wingdings" w:hint="default"/>
      </w:rPr>
    </w:lvl>
    <w:lvl w:ilvl="3" w:tplc="F4644B4A">
      <w:start w:val="1"/>
      <w:numFmt w:val="bullet"/>
      <w:lvlText w:val=""/>
      <w:lvlJc w:val="left"/>
      <w:pPr>
        <w:ind w:left="2880" w:hanging="360"/>
      </w:pPr>
      <w:rPr>
        <w:rFonts w:ascii="Symbol" w:hAnsi="Symbol" w:hint="default"/>
      </w:rPr>
    </w:lvl>
    <w:lvl w:ilvl="4" w:tplc="AACE0F14">
      <w:start w:val="1"/>
      <w:numFmt w:val="bullet"/>
      <w:lvlText w:val="o"/>
      <w:lvlJc w:val="left"/>
      <w:pPr>
        <w:ind w:left="3600" w:hanging="360"/>
      </w:pPr>
      <w:rPr>
        <w:rFonts w:ascii="Courier New" w:hAnsi="Courier New" w:hint="default"/>
      </w:rPr>
    </w:lvl>
    <w:lvl w:ilvl="5" w:tplc="F8CAEDB8">
      <w:start w:val="1"/>
      <w:numFmt w:val="bullet"/>
      <w:lvlText w:val=""/>
      <w:lvlJc w:val="left"/>
      <w:pPr>
        <w:ind w:left="4320" w:hanging="360"/>
      </w:pPr>
      <w:rPr>
        <w:rFonts w:ascii="Wingdings" w:hAnsi="Wingdings" w:hint="default"/>
      </w:rPr>
    </w:lvl>
    <w:lvl w:ilvl="6" w:tplc="6360BC8A">
      <w:start w:val="1"/>
      <w:numFmt w:val="bullet"/>
      <w:lvlText w:val=""/>
      <w:lvlJc w:val="left"/>
      <w:pPr>
        <w:ind w:left="5040" w:hanging="360"/>
      </w:pPr>
      <w:rPr>
        <w:rFonts w:ascii="Symbol" w:hAnsi="Symbol" w:hint="default"/>
      </w:rPr>
    </w:lvl>
    <w:lvl w:ilvl="7" w:tplc="807EF63C">
      <w:start w:val="1"/>
      <w:numFmt w:val="bullet"/>
      <w:lvlText w:val="o"/>
      <w:lvlJc w:val="left"/>
      <w:pPr>
        <w:ind w:left="5760" w:hanging="360"/>
      </w:pPr>
      <w:rPr>
        <w:rFonts w:ascii="Courier New" w:hAnsi="Courier New" w:hint="default"/>
      </w:rPr>
    </w:lvl>
    <w:lvl w:ilvl="8" w:tplc="024EDAF2">
      <w:start w:val="1"/>
      <w:numFmt w:val="bullet"/>
      <w:lvlText w:val=""/>
      <w:lvlJc w:val="left"/>
      <w:pPr>
        <w:ind w:left="6480" w:hanging="360"/>
      </w:pPr>
      <w:rPr>
        <w:rFonts w:ascii="Wingdings" w:hAnsi="Wingdings" w:hint="default"/>
      </w:rPr>
    </w:lvl>
  </w:abstractNum>
  <w:abstractNum w:abstractNumId="33" w15:restartNumberingAfterBreak="0">
    <w:nsid w:val="7C2D1F92"/>
    <w:multiLevelType w:val="multilevel"/>
    <w:tmpl w:val="99AAA2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D1D2439"/>
    <w:multiLevelType w:val="hybridMultilevel"/>
    <w:tmpl w:val="2556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80417"/>
    <w:multiLevelType w:val="multilevel"/>
    <w:tmpl w:val="4E963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5"/>
  </w:num>
  <w:num w:numId="3">
    <w:abstractNumId w:val="24"/>
  </w:num>
  <w:num w:numId="4">
    <w:abstractNumId w:val="27"/>
  </w:num>
  <w:num w:numId="5">
    <w:abstractNumId w:val="34"/>
  </w:num>
  <w:num w:numId="6">
    <w:abstractNumId w:val="11"/>
  </w:num>
  <w:num w:numId="7">
    <w:abstractNumId w:val="31"/>
  </w:num>
  <w:num w:numId="8">
    <w:abstractNumId w:val="18"/>
  </w:num>
  <w:num w:numId="9">
    <w:abstractNumId w:val="32"/>
  </w:num>
  <w:num w:numId="10">
    <w:abstractNumId w:val="22"/>
  </w:num>
  <w:num w:numId="11">
    <w:abstractNumId w:val="9"/>
  </w:num>
  <w:num w:numId="12">
    <w:abstractNumId w:val="13"/>
  </w:num>
  <w:num w:numId="13">
    <w:abstractNumId w:val="14"/>
  </w:num>
  <w:num w:numId="14">
    <w:abstractNumId w:val="23"/>
  </w:num>
  <w:num w:numId="15">
    <w:abstractNumId w:val="28"/>
  </w:num>
  <w:num w:numId="16">
    <w:abstractNumId w:val="3"/>
  </w:num>
  <w:num w:numId="17">
    <w:abstractNumId w:val="16"/>
  </w:num>
  <w:num w:numId="18">
    <w:abstractNumId w:val="1"/>
  </w:num>
  <w:num w:numId="19">
    <w:abstractNumId w:val="25"/>
  </w:num>
  <w:num w:numId="20">
    <w:abstractNumId w:val="35"/>
  </w:num>
  <w:num w:numId="21">
    <w:abstractNumId w:val="20"/>
  </w:num>
  <w:num w:numId="22">
    <w:abstractNumId w:val="12"/>
  </w:num>
  <w:num w:numId="23">
    <w:abstractNumId w:val="33"/>
  </w:num>
  <w:num w:numId="24">
    <w:abstractNumId w:val="2"/>
  </w:num>
  <w:num w:numId="25">
    <w:abstractNumId w:val="6"/>
  </w:num>
  <w:num w:numId="26">
    <w:abstractNumId w:val="0"/>
  </w:num>
  <w:num w:numId="27">
    <w:abstractNumId w:val="21"/>
  </w:num>
  <w:num w:numId="28">
    <w:abstractNumId w:val="26"/>
  </w:num>
  <w:num w:numId="29">
    <w:abstractNumId w:val="29"/>
  </w:num>
  <w:num w:numId="30">
    <w:abstractNumId w:val="4"/>
  </w:num>
  <w:num w:numId="31">
    <w:abstractNumId w:val="19"/>
  </w:num>
  <w:num w:numId="32">
    <w:abstractNumId w:val="10"/>
  </w:num>
  <w:num w:numId="33">
    <w:abstractNumId w:val="15"/>
  </w:num>
  <w:num w:numId="34">
    <w:abstractNumId w:val="17"/>
  </w:num>
  <w:num w:numId="35">
    <w:abstractNumId w:val="7"/>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LQ0trS0MDQ0MbFQ0lEKTi0uzszPAykwrgUAOTlHWSwAAAA="/>
  </w:docVars>
  <w:rsids>
    <w:rsidRoot w:val="00E13F84"/>
    <w:rsid w:val="0001799C"/>
    <w:rsid w:val="00031343"/>
    <w:rsid w:val="00031C96"/>
    <w:rsid w:val="000341D2"/>
    <w:rsid w:val="00037E47"/>
    <w:rsid w:val="00041666"/>
    <w:rsid w:val="000433D8"/>
    <w:rsid w:val="000472E8"/>
    <w:rsid w:val="00056198"/>
    <w:rsid w:val="00061886"/>
    <w:rsid w:val="00072B8A"/>
    <w:rsid w:val="0007496C"/>
    <w:rsid w:val="000806C4"/>
    <w:rsid w:val="00085ADA"/>
    <w:rsid w:val="000A00B5"/>
    <w:rsid w:val="000A089C"/>
    <w:rsid w:val="000B3AC6"/>
    <w:rsid w:val="000B4D6A"/>
    <w:rsid w:val="000D54EE"/>
    <w:rsid w:val="000E30EA"/>
    <w:rsid w:val="000E56D6"/>
    <w:rsid w:val="000E75A5"/>
    <w:rsid w:val="000E7E67"/>
    <w:rsid w:val="0011568B"/>
    <w:rsid w:val="0012164E"/>
    <w:rsid w:val="001217AE"/>
    <w:rsid w:val="001251B5"/>
    <w:rsid w:val="001269D4"/>
    <w:rsid w:val="001276E2"/>
    <w:rsid w:val="00137FDB"/>
    <w:rsid w:val="001415DB"/>
    <w:rsid w:val="001558E0"/>
    <w:rsid w:val="00161872"/>
    <w:rsid w:val="001632F7"/>
    <w:rsid w:val="00164019"/>
    <w:rsid w:val="001706EE"/>
    <w:rsid w:val="001741B1"/>
    <w:rsid w:val="00194D76"/>
    <w:rsid w:val="001A502A"/>
    <w:rsid w:val="001B0DA3"/>
    <w:rsid w:val="001B7AA7"/>
    <w:rsid w:val="001C61A3"/>
    <w:rsid w:val="001D078D"/>
    <w:rsid w:val="001D1D56"/>
    <w:rsid w:val="001D2AF1"/>
    <w:rsid w:val="001E2FCF"/>
    <w:rsid w:val="001E4FAB"/>
    <w:rsid w:val="001E567A"/>
    <w:rsid w:val="001F14C3"/>
    <w:rsid w:val="001F1E06"/>
    <w:rsid w:val="00205702"/>
    <w:rsid w:val="0020727E"/>
    <w:rsid w:val="002126A3"/>
    <w:rsid w:val="00214EBC"/>
    <w:rsid w:val="00215D72"/>
    <w:rsid w:val="00221BA5"/>
    <w:rsid w:val="002316FA"/>
    <w:rsid w:val="00257CD2"/>
    <w:rsid w:val="00263AA0"/>
    <w:rsid w:val="00265A23"/>
    <w:rsid w:val="002708D2"/>
    <w:rsid w:val="00270E8B"/>
    <w:rsid w:val="0028604F"/>
    <w:rsid w:val="002904AC"/>
    <w:rsid w:val="00296B78"/>
    <w:rsid w:val="00297AE5"/>
    <w:rsid w:val="002A05D7"/>
    <w:rsid w:val="002C4484"/>
    <w:rsid w:val="002C606F"/>
    <w:rsid w:val="0030370F"/>
    <w:rsid w:val="00304402"/>
    <w:rsid w:val="00306560"/>
    <w:rsid w:val="00310CCA"/>
    <w:rsid w:val="0031546C"/>
    <w:rsid w:val="00320536"/>
    <w:rsid w:val="00324350"/>
    <w:rsid w:val="0032782C"/>
    <w:rsid w:val="00330AB2"/>
    <w:rsid w:val="00337EEE"/>
    <w:rsid w:val="00340D70"/>
    <w:rsid w:val="00341165"/>
    <w:rsid w:val="003434CD"/>
    <w:rsid w:val="00343C74"/>
    <w:rsid w:val="00345981"/>
    <w:rsid w:val="00372AE0"/>
    <w:rsid w:val="003743F1"/>
    <w:rsid w:val="00376C91"/>
    <w:rsid w:val="0038056C"/>
    <w:rsid w:val="003843D6"/>
    <w:rsid w:val="00392A39"/>
    <w:rsid w:val="003951C8"/>
    <w:rsid w:val="00397AF0"/>
    <w:rsid w:val="003A4B70"/>
    <w:rsid w:val="003A520C"/>
    <w:rsid w:val="003C0113"/>
    <w:rsid w:val="003C28FE"/>
    <w:rsid w:val="003C754A"/>
    <w:rsid w:val="003D64BC"/>
    <w:rsid w:val="003F15C1"/>
    <w:rsid w:val="00406DAE"/>
    <w:rsid w:val="0041187B"/>
    <w:rsid w:val="00411F8A"/>
    <w:rsid w:val="004222F4"/>
    <w:rsid w:val="00424803"/>
    <w:rsid w:val="00430BDF"/>
    <w:rsid w:val="00435DA7"/>
    <w:rsid w:val="00435DC4"/>
    <w:rsid w:val="00443BA1"/>
    <w:rsid w:val="004528E8"/>
    <w:rsid w:val="004616DF"/>
    <w:rsid w:val="00463F6C"/>
    <w:rsid w:val="00470272"/>
    <w:rsid w:val="00471643"/>
    <w:rsid w:val="00475275"/>
    <w:rsid w:val="004759C2"/>
    <w:rsid w:val="00481E16"/>
    <w:rsid w:val="004821C8"/>
    <w:rsid w:val="004868D8"/>
    <w:rsid w:val="00490187"/>
    <w:rsid w:val="004A4041"/>
    <w:rsid w:val="004A45CB"/>
    <w:rsid w:val="004A7172"/>
    <w:rsid w:val="004B09B4"/>
    <w:rsid w:val="004B1901"/>
    <w:rsid w:val="004C01D0"/>
    <w:rsid w:val="004C0B7F"/>
    <w:rsid w:val="004C3021"/>
    <w:rsid w:val="004C4937"/>
    <w:rsid w:val="004C5095"/>
    <w:rsid w:val="004D3A2A"/>
    <w:rsid w:val="004D4A32"/>
    <w:rsid w:val="004D5981"/>
    <w:rsid w:val="004D7DEF"/>
    <w:rsid w:val="004F10C9"/>
    <w:rsid w:val="00501807"/>
    <w:rsid w:val="00505646"/>
    <w:rsid w:val="00506A02"/>
    <w:rsid w:val="005148D5"/>
    <w:rsid w:val="0051680F"/>
    <w:rsid w:val="00520104"/>
    <w:rsid w:val="00526619"/>
    <w:rsid w:val="005278AC"/>
    <w:rsid w:val="0053746E"/>
    <w:rsid w:val="00550321"/>
    <w:rsid w:val="005541CD"/>
    <w:rsid w:val="00572678"/>
    <w:rsid w:val="00575FB6"/>
    <w:rsid w:val="00583612"/>
    <w:rsid w:val="00586FF5"/>
    <w:rsid w:val="005924B1"/>
    <w:rsid w:val="00596076"/>
    <w:rsid w:val="005A74FE"/>
    <w:rsid w:val="005B77E2"/>
    <w:rsid w:val="005C57D6"/>
    <w:rsid w:val="005D0E6F"/>
    <w:rsid w:val="005D3C75"/>
    <w:rsid w:val="005D6C10"/>
    <w:rsid w:val="005E13E7"/>
    <w:rsid w:val="005E18EA"/>
    <w:rsid w:val="005E20CD"/>
    <w:rsid w:val="005F349B"/>
    <w:rsid w:val="005F46D5"/>
    <w:rsid w:val="00610DB2"/>
    <w:rsid w:val="00622D3B"/>
    <w:rsid w:val="00627DB8"/>
    <w:rsid w:val="00632DD3"/>
    <w:rsid w:val="006514E1"/>
    <w:rsid w:val="00651563"/>
    <w:rsid w:val="00651BCB"/>
    <w:rsid w:val="00662DEC"/>
    <w:rsid w:val="00662F64"/>
    <w:rsid w:val="006632AA"/>
    <w:rsid w:val="00673649"/>
    <w:rsid w:val="00680C47"/>
    <w:rsid w:val="00682951"/>
    <w:rsid w:val="00691BD7"/>
    <w:rsid w:val="006A6F48"/>
    <w:rsid w:val="006A76E4"/>
    <w:rsid w:val="006B12E5"/>
    <w:rsid w:val="006B3A89"/>
    <w:rsid w:val="006D1B59"/>
    <w:rsid w:val="006D29BA"/>
    <w:rsid w:val="006D3B36"/>
    <w:rsid w:val="006E22AB"/>
    <w:rsid w:val="00700621"/>
    <w:rsid w:val="00703D47"/>
    <w:rsid w:val="007079F3"/>
    <w:rsid w:val="00711966"/>
    <w:rsid w:val="0072201B"/>
    <w:rsid w:val="00736556"/>
    <w:rsid w:val="007432C0"/>
    <w:rsid w:val="00746E7B"/>
    <w:rsid w:val="00761D43"/>
    <w:rsid w:val="00776039"/>
    <w:rsid w:val="00777D3F"/>
    <w:rsid w:val="007804F0"/>
    <w:rsid w:val="00781282"/>
    <w:rsid w:val="00796C44"/>
    <w:rsid w:val="007A0AED"/>
    <w:rsid w:val="007B2FD0"/>
    <w:rsid w:val="007C07F7"/>
    <w:rsid w:val="007C5D31"/>
    <w:rsid w:val="007D14CD"/>
    <w:rsid w:val="007E3254"/>
    <w:rsid w:val="007E4663"/>
    <w:rsid w:val="007E5593"/>
    <w:rsid w:val="007F2A0D"/>
    <w:rsid w:val="007F45DF"/>
    <w:rsid w:val="0080091A"/>
    <w:rsid w:val="008015C4"/>
    <w:rsid w:val="00804D33"/>
    <w:rsid w:val="00805A09"/>
    <w:rsid w:val="00834504"/>
    <w:rsid w:val="00844E66"/>
    <w:rsid w:val="008473E1"/>
    <w:rsid w:val="008609B1"/>
    <w:rsid w:val="00863A24"/>
    <w:rsid w:val="00876234"/>
    <w:rsid w:val="008762FE"/>
    <w:rsid w:val="00895C4A"/>
    <w:rsid w:val="008A352C"/>
    <w:rsid w:val="008A7EA8"/>
    <w:rsid w:val="008B2B3E"/>
    <w:rsid w:val="008D00B2"/>
    <w:rsid w:val="008D6CCB"/>
    <w:rsid w:val="008E0E35"/>
    <w:rsid w:val="008E737B"/>
    <w:rsid w:val="008F2E88"/>
    <w:rsid w:val="008F7417"/>
    <w:rsid w:val="00900A4B"/>
    <w:rsid w:val="00903AB1"/>
    <w:rsid w:val="00915ACA"/>
    <w:rsid w:val="009269AF"/>
    <w:rsid w:val="00930229"/>
    <w:rsid w:val="00932F67"/>
    <w:rsid w:val="00935732"/>
    <w:rsid w:val="00940A6F"/>
    <w:rsid w:val="0094453C"/>
    <w:rsid w:val="009463D0"/>
    <w:rsid w:val="009471DC"/>
    <w:rsid w:val="00954839"/>
    <w:rsid w:val="0096231A"/>
    <w:rsid w:val="00970ACD"/>
    <w:rsid w:val="00971476"/>
    <w:rsid w:val="00974685"/>
    <w:rsid w:val="00987D82"/>
    <w:rsid w:val="00991806"/>
    <w:rsid w:val="009A02BB"/>
    <w:rsid w:val="009A2D7E"/>
    <w:rsid w:val="009B0E53"/>
    <w:rsid w:val="009B1063"/>
    <w:rsid w:val="009B200C"/>
    <w:rsid w:val="009C315B"/>
    <w:rsid w:val="009D03E8"/>
    <w:rsid w:val="009E342C"/>
    <w:rsid w:val="009E51D5"/>
    <w:rsid w:val="009E5B8A"/>
    <w:rsid w:val="009E7A1C"/>
    <w:rsid w:val="009F0CE1"/>
    <w:rsid w:val="009F1532"/>
    <w:rsid w:val="00A015F8"/>
    <w:rsid w:val="00A05BF7"/>
    <w:rsid w:val="00A05E49"/>
    <w:rsid w:val="00A1276B"/>
    <w:rsid w:val="00A2340E"/>
    <w:rsid w:val="00A2341B"/>
    <w:rsid w:val="00A27C29"/>
    <w:rsid w:val="00A36957"/>
    <w:rsid w:val="00A3737D"/>
    <w:rsid w:val="00A37CC0"/>
    <w:rsid w:val="00A56CDB"/>
    <w:rsid w:val="00A67DE9"/>
    <w:rsid w:val="00A707F3"/>
    <w:rsid w:val="00A744B4"/>
    <w:rsid w:val="00A811D0"/>
    <w:rsid w:val="00A9320D"/>
    <w:rsid w:val="00AA46C0"/>
    <w:rsid w:val="00AA5184"/>
    <w:rsid w:val="00AB1C71"/>
    <w:rsid w:val="00AC07B5"/>
    <w:rsid w:val="00AC201E"/>
    <w:rsid w:val="00AC2A39"/>
    <w:rsid w:val="00AC42D7"/>
    <w:rsid w:val="00AC5C70"/>
    <w:rsid w:val="00AC7813"/>
    <w:rsid w:val="00AC784D"/>
    <w:rsid w:val="00AD3CA6"/>
    <w:rsid w:val="00AD7E9F"/>
    <w:rsid w:val="00AE06CA"/>
    <w:rsid w:val="00AE5B4D"/>
    <w:rsid w:val="00AE6E3A"/>
    <w:rsid w:val="00AF15B8"/>
    <w:rsid w:val="00AF38B9"/>
    <w:rsid w:val="00B214CA"/>
    <w:rsid w:val="00B31240"/>
    <w:rsid w:val="00B34889"/>
    <w:rsid w:val="00B3584D"/>
    <w:rsid w:val="00B40FCF"/>
    <w:rsid w:val="00B43D45"/>
    <w:rsid w:val="00B454E1"/>
    <w:rsid w:val="00B56787"/>
    <w:rsid w:val="00B57824"/>
    <w:rsid w:val="00B721E7"/>
    <w:rsid w:val="00B72436"/>
    <w:rsid w:val="00B76A3D"/>
    <w:rsid w:val="00B800BA"/>
    <w:rsid w:val="00B82B24"/>
    <w:rsid w:val="00B85F23"/>
    <w:rsid w:val="00B92846"/>
    <w:rsid w:val="00B93333"/>
    <w:rsid w:val="00B93595"/>
    <w:rsid w:val="00B94BC2"/>
    <w:rsid w:val="00B96FDD"/>
    <w:rsid w:val="00B97B20"/>
    <w:rsid w:val="00BB68D1"/>
    <w:rsid w:val="00BB75F9"/>
    <w:rsid w:val="00BC002C"/>
    <w:rsid w:val="00BC027E"/>
    <w:rsid w:val="00BC0321"/>
    <w:rsid w:val="00BC4D6F"/>
    <w:rsid w:val="00BC5931"/>
    <w:rsid w:val="00BC5983"/>
    <w:rsid w:val="00BE00C9"/>
    <w:rsid w:val="00BE0F05"/>
    <w:rsid w:val="00BE2F26"/>
    <w:rsid w:val="00BE31BD"/>
    <w:rsid w:val="00BE4D50"/>
    <w:rsid w:val="00BE6157"/>
    <w:rsid w:val="00BF10D8"/>
    <w:rsid w:val="00C021AD"/>
    <w:rsid w:val="00C03E5B"/>
    <w:rsid w:val="00C12828"/>
    <w:rsid w:val="00C13EE8"/>
    <w:rsid w:val="00C15388"/>
    <w:rsid w:val="00C26B47"/>
    <w:rsid w:val="00C32AEB"/>
    <w:rsid w:val="00C36CF4"/>
    <w:rsid w:val="00C41217"/>
    <w:rsid w:val="00C61782"/>
    <w:rsid w:val="00C636DC"/>
    <w:rsid w:val="00C83041"/>
    <w:rsid w:val="00C83584"/>
    <w:rsid w:val="00C97D3D"/>
    <w:rsid w:val="00CA2B5C"/>
    <w:rsid w:val="00CA34A5"/>
    <w:rsid w:val="00CB016A"/>
    <w:rsid w:val="00CB4C56"/>
    <w:rsid w:val="00CB60DB"/>
    <w:rsid w:val="00CC1950"/>
    <w:rsid w:val="00CC7722"/>
    <w:rsid w:val="00CE1F8B"/>
    <w:rsid w:val="00CE693F"/>
    <w:rsid w:val="00CF4760"/>
    <w:rsid w:val="00CF4A85"/>
    <w:rsid w:val="00CF54E1"/>
    <w:rsid w:val="00D12F7D"/>
    <w:rsid w:val="00D20948"/>
    <w:rsid w:val="00D21970"/>
    <w:rsid w:val="00D43822"/>
    <w:rsid w:val="00D549F5"/>
    <w:rsid w:val="00D80052"/>
    <w:rsid w:val="00D81707"/>
    <w:rsid w:val="00D81DF8"/>
    <w:rsid w:val="00D86D7E"/>
    <w:rsid w:val="00D87B31"/>
    <w:rsid w:val="00DB2506"/>
    <w:rsid w:val="00DB48A1"/>
    <w:rsid w:val="00DD1BA2"/>
    <w:rsid w:val="00DE4F50"/>
    <w:rsid w:val="00DE4F67"/>
    <w:rsid w:val="00DE7720"/>
    <w:rsid w:val="00E06A11"/>
    <w:rsid w:val="00E1353F"/>
    <w:rsid w:val="00E13F84"/>
    <w:rsid w:val="00E1674C"/>
    <w:rsid w:val="00E25327"/>
    <w:rsid w:val="00E35AB2"/>
    <w:rsid w:val="00E369FF"/>
    <w:rsid w:val="00E37A23"/>
    <w:rsid w:val="00E402FC"/>
    <w:rsid w:val="00E75131"/>
    <w:rsid w:val="00EA2368"/>
    <w:rsid w:val="00EA4B69"/>
    <w:rsid w:val="00EB53C1"/>
    <w:rsid w:val="00ED0E52"/>
    <w:rsid w:val="00ED4A1E"/>
    <w:rsid w:val="00ED4CD9"/>
    <w:rsid w:val="00ED78A2"/>
    <w:rsid w:val="00EE0A0A"/>
    <w:rsid w:val="00EE1B91"/>
    <w:rsid w:val="00EF2EF4"/>
    <w:rsid w:val="00EF53E9"/>
    <w:rsid w:val="00F02356"/>
    <w:rsid w:val="00F07596"/>
    <w:rsid w:val="00F11D57"/>
    <w:rsid w:val="00F24053"/>
    <w:rsid w:val="00F2547C"/>
    <w:rsid w:val="00F3150F"/>
    <w:rsid w:val="00F32810"/>
    <w:rsid w:val="00F36D3D"/>
    <w:rsid w:val="00F44E13"/>
    <w:rsid w:val="00F57D26"/>
    <w:rsid w:val="00F702D4"/>
    <w:rsid w:val="00F7616F"/>
    <w:rsid w:val="00F81813"/>
    <w:rsid w:val="00F840F2"/>
    <w:rsid w:val="00FA11F8"/>
    <w:rsid w:val="00FA2BF3"/>
    <w:rsid w:val="00FB1BE6"/>
    <w:rsid w:val="00FB35D2"/>
    <w:rsid w:val="00FB3E06"/>
    <w:rsid w:val="00FD2366"/>
    <w:rsid w:val="00FD2935"/>
    <w:rsid w:val="00FE2A47"/>
    <w:rsid w:val="00FF3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093D"/>
  <w15:chartTrackingRefBased/>
  <w15:docId w15:val="{093FC7D9-FD01-469D-ADBD-F81AA1C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2F2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84"/>
    <w:rPr>
      <w:rFonts w:ascii="Segoe UI" w:hAnsi="Segoe UI" w:cs="Segoe UI"/>
      <w:sz w:val="18"/>
      <w:szCs w:val="18"/>
    </w:rPr>
  </w:style>
  <w:style w:type="paragraph" w:styleId="Header">
    <w:name w:val="header"/>
    <w:basedOn w:val="Normal"/>
    <w:link w:val="HeaderChar"/>
    <w:uiPriority w:val="99"/>
    <w:unhideWhenUsed/>
    <w:rsid w:val="00E1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84"/>
  </w:style>
  <w:style w:type="paragraph" w:styleId="Footer">
    <w:name w:val="footer"/>
    <w:basedOn w:val="Normal"/>
    <w:link w:val="FooterChar"/>
    <w:uiPriority w:val="99"/>
    <w:unhideWhenUsed/>
    <w:rsid w:val="00E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84"/>
  </w:style>
  <w:style w:type="paragraph" w:styleId="Title">
    <w:name w:val="Title"/>
    <w:basedOn w:val="Normal"/>
    <w:next w:val="Normal"/>
    <w:link w:val="TitleChar"/>
    <w:uiPriority w:val="10"/>
    <w:qFormat/>
    <w:rsid w:val="00E1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F84"/>
    <w:rPr>
      <w:rFonts w:asciiTheme="majorHAnsi" w:eastAsiaTheme="majorEastAsia" w:hAnsiTheme="majorHAnsi" w:cstheme="majorBidi"/>
      <w:spacing w:val="-10"/>
      <w:kern w:val="28"/>
      <w:sz w:val="56"/>
      <w:szCs w:val="56"/>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E13F84"/>
    <w:pPr>
      <w:ind w:left="720"/>
      <w:contextualSpacing/>
    </w:pPr>
  </w:style>
  <w:style w:type="table" w:styleId="TableGrid">
    <w:name w:val="Table Grid"/>
    <w:basedOn w:val="TableNormal"/>
    <w:uiPriority w:val="39"/>
    <w:rsid w:val="004D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184"/>
    <w:rPr>
      <w:sz w:val="16"/>
      <w:szCs w:val="16"/>
    </w:rPr>
  </w:style>
  <w:style w:type="paragraph" w:styleId="CommentText">
    <w:name w:val="annotation text"/>
    <w:basedOn w:val="Normal"/>
    <w:link w:val="CommentTextChar"/>
    <w:uiPriority w:val="99"/>
    <w:semiHidden/>
    <w:unhideWhenUsed/>
    <w:rsid w:val="00AA5184"/>
    <w:pPr>
      <w:spacing w:line="240" w:lineRule="auto"/>
    </w:pPr>
    <w:rPr>
      <w:sz w:val="20"/>
      <w:szCs w:val="20"/>
    </w:rPr>
  </w:style>
  <w:style w:type="character" w:customStyle="1" w:styleId="CommentTextChar">
    <w:name w:val="Comment Text Char"/>
    <w:basedOn w:val="DefaultParagraphFont"/>
    <w:link w:val="CommentText"/>
    <w:uiPriority w:val="99"/>
    <w:semiHidden/>
    <w:rsid w:val="00AA5184"/>
    <w:rPr>
      <w:sz w:val="20"/>
      <w:szCs w:val="20"/>
    </w:rPr>
  </w:style>
  <w:style w:type="paragraph" w:styleId="CommentSubject">
    <w:name w:val="annotation subject"/>
    <w:basedOn w:val="CommentText"/>
    <w:next w:val="CommentText"/>
    <w:link w:val="CommentSubjectChar"/>
    <w:uiPriority w:val="99"/>
    <w:semiHidden/>
    <w:unhideWhenUsed/>
    <w:rsid w:val="00AA5184"/>
    <w:rPr>
      <w:b/>
      <w:bCs/>
    </w:rPr>
  </w:style>
  <w:style w:type="character" w:customStyle="1" w:styleId="CommentSubjectChar">
    <w:name w:val="Comment Subject Char"/>
    <w:basedOn w:val="CommentTextChar"/>
    <w:link w:val="CommentSubject"/>
    <w:uiPriority w:val="99"/>
    <w:semiHidden/>
    <w:rsid w:val="00AA5184"/>
    <w:rPr>
      <w:b/>
      <w:bCs/>
      <w:sz w:val="20"/>
      <w:szCs w:val="20"/>
    </w:rPr>
  </w:style>
  <w:style w:type="character" w:customStyle="1" w:styleId="Heading1Char">
    <w:name w:val="Heading 1 Char"/>
    <w:basedOn w:val="DefaultParagraphFont"/>
    <w:link w:val="Heading1"/>
    <w:uiPriority w:val="9"/>
    <w:rsid w:val="00AA51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518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A5184"/>
    <w:pPr>
      <w:outlineLvl w:val="9"/>
    </w:pPr>
  </w:style>
  <w:style w:type="paragraph" w:styleId="TOC1">
    <w:name w:val="toc 1"/>
    <w:basedOn w:val="Normal"/>
    <w:next w:val="Normal"/>
    <w:autoRedefine/>
    <w:uiPriority w:val="39"/>
    <w:unhideWhenUsed/>
    <w:rsid w:val="00AA5184"/>
    <w:pPr>
      <w:spacing w:after="100"/>
    </w:pPr>
  </w:style>
  <w:style w:type="paragraph" w:styleId="TOC2">
    <w:name w:val="toc 2"/>
    <w:basedOn w:val="Normal"/>
    <w:next w:val="Normal"/>
    <w:autoRedefine/>
    <w:uiPriority w:val="39"/>
    <w:unhideWhenUsed/>
    <w:rsid w:val="00AA5184"/>
    <w:pPr>
      <w:spacing w:after="100"/>
      <w:ind w:left="220"/>
    </w:pPr>
  </w:style>
  <w:style w:type="character" w:styleId="Hyperlink">
    <w:name w:val="Hyperlink"/>
    <w:basedOn w:val="DefaultParagraphFont"/>
    <w:uiPriority w:val="99"/>
    <w:unhideWhenUsed/>
    <w:rsid w:val="00AA5184"/>
    <w:rPr>
      <w:color w:val="0563C1" w:themeColor="hyperlink"/>
      <w:u w:val="single"/>
    </w:rPr>
  </w:style>
  <w:style w:type="character" w:customStyle="1" w:styleId="1">
    <w:name w:val="إشارة لم يتم حلها1"/>
    <w:basedOn w:val="DefaultParagraphFont"/>
    <w:uiPriority w:val="99"/>
    <w:semiHidden/>
    <w:unhideWhenUsed/>
    <w:rsid w:val="00AA5184"/>
    <w:rPr>
      <w:color w:val="605E5C"/>
      <w:shd w:val="clear" w:color="auto" w:fill="E1DFDD"/>
    </w:rPr>
  </w:style>
  <w:style w:type="character" w:customStyle="1" w:styleId="Heading3Char">
    <w:name w:val="Heading 3 Char"/>
    <w:basedOn w:val="DefaultParagraphFont"/>
    <w:link w:val="Heading3"/>
    <w:uiPriority w:val="9"/>
    <w:rsid w:val="00BE2F26"/>
    <w:rPr>
      <w:rFonts w:asciiTheme="majorHAnsi" w:eastAsiaTheme="majorEastAsia" w:hAnsiTheme="majorHAnsi" w:cstheme="majorBidi"/>
      <w:color w:val="1F3763" w:themeColor="accent1" w:themeShade="7F"/>
      <w:sz w:val="24"/>
      <w:szCs w:val="24"/>
      <w:lang w:val="en-GB"/>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1"/>
    <w:qFormat/>
    <w:locked/>
    <w:rsid w:val="00BE2F26"/>
  </w:style>
  <w:style w:type="character" w:styleId="FollowedHyperlink">
    <w:name w:val="FollowedHyperlink"/>
    <w:basedOn w:val="DefaultParagraphFont"/>
    <w:uiPriority w:val="99"/>
    <w:semiHidden/>
    <w:unhideWhenUsed/>
    <w:rsid w:val="004B09B4"/>
    <w:rPr>
      <w:color w:val="954F72" w:themeColor="followedHyperlink"/>
      <w:u w:val="single"/>
    </w:rPr>
  </w:style>
  <w:style w:type="paragraph" w:styleId="FootnoteText">
    <w:name w:val="footnote text"/>
    <w:basedOn w:val="Normal"/>
    <w:link w:val="FootnoteTextChar"/>
    <w:uiPriority w:val="99"/>
    <w:semiHidden/>
    <w:unhideWhenUsed/>
    <w:rsid w:val="00CA3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4A5"/>
    <w:rPr>
      <w:sz w:val="20"/>
      <w:szCs w:val="20"/>
    </w:rPr>
  </w:style>
  <w:style w:type="character" w:styleId="FootnoteReference">
    <w:name w:val="footnote reference"/>
    <w:basedOn w:val="DefaultParagraphFont"/>
    <w:uiPriority w:val="99"/>
    <w:semiHidden/>
    <w:unhideWhenUsed/>
    <w:rsid w:val="00CA34A5"/>
    <w:rPr>
      <w:vertAlign w:val="superscript"/>
    </w:rPr>
  </w:style>
  <w:style w:type="paragraph" w:styleId="NoSpacing">
    <w:name w:val="No Spacing"/>
    <w:link w:val="NoSpacingChar"/>
    <w:uiPriority w:val="1"/>
    <w:qFormat/>
    <w:rsid w:val="00622D3B"/>
    <w:pPr>
      <w:spacing w:after="0" w:line="240" w:lineRule="auto"/>
    </w:pPr>
  </w:style>
  <w:style w:type="character" w:styleId="UnresolvedMention">
    <w:name w:val="Unresolved Mention"/>
    <w:basedOn w:val="DefaultParagraphFont"/>
    <w:uiPriority w:val="99"/>
    <w:semiHidden/>
    <w:unhideWhenUsed/>
    <w:rsid w:val="0007496C"/>
    <w:rPr>
      <w:color w:val="605E5C"/>
      <w:shd w:val="clear" w:color="auto" w:fill="E1DFDD"/>
    </w:rPr>
  </w:style>
  <w:style w:type="paragraph" w:customStyle="1" w:styleId="TableParagraph">
    <w:name w:val="Table Paragraph"/>
    <w:basedOn w:val="Normal"/>
    <w:uiPriority w:val="1"/>
    <w:qFormat/>
    <w:rsid w:val="00341165"/>
    <w:pPr>
      <w:widowControl w:val="0"/>
      <w:autoSpaceDE w:val="0"/>
      <w:autoSpaceDN w:val="0"/>
      <w:spacing w:after="0" w:line="240" w:lineRule="auto"/>
    </w:pPr>
    <w:rPr>
      <w:rFonts w:ascii="Trebuchet MS" w:eastAsia="Trebuchet MS" w:hAnsi="Trebuchet MS" w:cs="Trebuchet MS"/>
    </w:rPr>
  </w:style>
  <w:style w:type="character" w:customStyle="1" w:styleId="NoSpacingChar">
    <w:name w:val="No Spacing Char"/>
    <w:basedOn w:val="DefaultParagraphFont"/>
    <w:link w:val="NoSpacing"/>
    <w:uiPriority w:val="1"/>
    <w:rsid w:val="00C83041"/>
  </w:style>
  <w:style w:type="paragraph" w:customStyle="1" w:styleId="Pa1">
    <w:name w:val="Pa1"/>
    <w:basedOn w:val="Normal"/>
    <w:next w:val="Normal"/>
    <w:uiPriority w:val="99"/>
    <w:rsid w:val="00DE4F67"/>
    <w:pPr>
      <w:autoSpaceDE w:val="0"/>
      <w:autoSpaceDN w:val="0"/>
      <w:adjustRightInd w:val="0"/>
      <w:spacing w:after="0" w:line="241" w:lineRule="atLeast"/>
    </w:pPr>
    <w:rPr>
      <w:rFonts w:ascii="Myriad Pro" w:hAnsi="Myriad Pro"/>
      <w:sz w:val="24"/>
      <w:szCs w:val="24"/>
    </w:rPr>
  </w:style>
  <w:style w:type="character" w:customStyle="1" w:styleId="apple-converted-space">
    <w:name w:val="apple-converted-space"/>
    <w:basedOn w:val="DefaultParagraphFont"/>
    <w:rsid w:val="00296B78"/>
  </w:style>
  <w:style w:type="character" w:styleId="Emphasis">
    <w:name w:val="Emphasis"/>
    <w:basedOn w:val="DefaultParagraphFont"/>
    <w:uiPriority w:val="20"/>
    <w:qFormat/>
    <w:rsid w:val="00296B78"/>
    <w:rPr>
      <w:i/>
      <w:iCs/>
    </w:rPr>
  </w:style>
  <w:style w:type="paragraph" w:customStyle="1" w:styleId="xp1">
    <w:name w:val="x_p1"/>
    <w:basedOn w:val="Normal"/>
    <w:rsid w:val="0095483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7534">
      <w:bodyDiv w:val="1"/>
      <w:marLeft w:val="0"/>
      <w:marRight w:val="0"/>
      <w:marTop w:val="0"/>
      <w:marBottom w:val="0"/>
      <w:divBdr>
        <w:top w:val="none" w:sz="0" w:space="0" w:color="auto"/>
        <w:left w:val="none" w:sz="0" w:space="0" w:color="auto"/>
        <w:bottom w:val="none" w:sz="0" w:space="0" w:color="auto"/>
        <w:right w:val="none" w:sz="0" w:space="0" w:color="auto"/>
      </w:divBdr>
    </w:div>
    <w:div w:id="104885837">
      <w:bodyDiv w:val="1"/>
      <w:marLeft w:val="0"/>
      <w:marRight w:val="0"/>
      <w:marTop w:val="0"/>
      <w:marBottom w:val="0"/>
      <w:divBdr>
        <w:top w:val="none" w:sz="0" w:space="0" w:color="auto"/>
        <w:left w:val="none" w:sz="0" w:space="0" w:color="auto"/>
        <w:bottom w:val="none" w:sz="0" w:space="0" w:color="auto"/>
        <w:right w:val="none" w:sz="0" w:space="0" w:color="auto"/>
      </w:divBdr>
    </w:div>
    <w:div w:id="175578663">
      <w:bodyDiv w:val="1"/>
      <w:marLeft w:val="0"/>
      <w:marRight w:val="0"/>
      <w:marTop w:val="0"/>
      <w:marBottom w:val="0"/>
      <w:divBdr>
        <w:top w:val="none" w:sz="0" w:space="0" w:color="auto"/>
        <w:left w:val="none" w:sz="0" w:space="0" w:color="auto"/>
        <w:bottom w:val="none" w:sz="0" w:space="0" w:color="auto"/>
        <w:right w:val="none" w:sz="0" w:space="0" w:color="auto"/>
      </w:divBdr>
    </w:div>
    <w:div w:id="351345334">
      <w:bodyDiv w:val="1"/>
      <w:marLeft w:val="0"/>
      <w:marRight w:val="0"/>
      <w:marTop w:val="0"/>
      <w:marBottom w:val="0"/>
      <w:divBdr>
        <w:top w:val="none" w:sz="0" w:space="0" w:color="auto"/>
        <w:left w:val="none" w:sz="0" w:space="0" w:color="auto"/>
        <w:bottom w:val="none" w:sz="0" w:space="0" w:color="auto"/>
        <w:right w:val="none" w:sz="0" w:space="0" w:color="auto"/>
      </w:divBdr>
    </w:div>
    <w:div w:id="845091817">
      <w:bodyDiv w:val="1"/>
      <w:marLeft w:val="0"/>
      <w:marRight w:val="0"/>
      <w:marTop w:val="0"/>
      <w:marBottom w:val="0"/>
      <w:divBdr>
        <w:top w:val="none" w:sz="0" w:space="0" w:color="auto"/>
        <w:left w:val="none" w:sz="0" w:space="0" w:color="auto"/>
        <w:bottom w:val="none" w:sz="0" w:space="0" w:color="auto"/>
        <w:right w:val="none" w:sz="0" w:space="0" w:color="auto"/>
      </w:divBdr>
    </w:div>
    <w:div w:id="896941008">
      <w:bodyDiv w:val="1"/>
      <w:marLeft w:val="0"/>
      <w:marRight w:val="0"/>
      <w:marTop w:val="0"/>
      <w:marBottom w:val="0"/>
      <w:divBdr>
        <w:top w:val="none" w:sz="0" w:space="0" w:color="auto"/>
        <w:left w:val="none" w:sz="0" w:space="0" w:color="auto"/>
        <w:bottom w:val="none" w:sz="0" w:space="0" w:color="auto"/>
        <w:right w:val="none" w:sz="0" w:space="0" w:color="auto"/>
      </w:divBdr>
    </w:div>
    <w:div w:id="912544949">
      <w:bodyDiv w:val="1"/>
      <w:marLeft w:val="0"/>
      <w:marRight w:val="0"/>
      <w:marTop w:val="0"/>
      <w:marBottom w:val="0"/>
      <w:divBdr>
        <w:top w:val="none" w:sz="0" w:space="0" w:color="auto"/>
        <w:left w:val="none" w:sz="0" w:space="0" w:color="auto"/>
        <w:bottom w:val="none" w:sz="0" w:space="0" w:color="auto"/>
        <w:right w:val="none" w:sz="0" w:space="0" w:color="auto"/>
      </w:divBdr>
    </w:div>
    <w:div w:id="1047605346">
      <w:bodyDiv w:val="1"/>
      <w:marLeft w:val="0"/>
      <w:marRight w:val="0"/>
      <w:marTop w:val="0"/>
      <w:marBottom w:val="0"/>
      <w:divBdr>
        <w:top w:val="none" w:sz="0" w:space="0" w:color="auto"/>
        <w:left w:val="none" w:sz="0" w:space="0" w:color="auto"/>
        <w:bottom w:val="none" w:sz="0" w:space="0" w:color="auto"/>
        <w:right w:val="none" w:sz="0" w:space="0" w:color="auto"/>
      </w:divBdr>
    </w:div>
    <w:div w:id="1192837895">
      <w:bodyDiv w:val="1"/>
      <w:marLeft w:val="0"/>
      <w:marRight w:val="0"/>
      <w:marTop w:val="0"/>
      <w:marBottom w:val="0"/>
      <w:divBdr>
        <w:top w:val="none" w:sz="0" w:space="0" w:color="auto"/>
        <w:left w:val="none" w:sz="0" w:space="0" w:color="auto"/>
        <w:bottom w:val="none" w:sz="0" w:space="0" w:color="auto"/>
        <w:right w:val="none" w:sz="0" w:space="0" w:color="auto"/>
      </w:divBdr>
    </w:div>
    <w:div w:id="1255477613">
      <w:bodyDiv w:val="1"/>
      <w:marLeft w:val="0"/>
      <w:marRight w:val="0"/>
      <w:marTop w:val="0"/>
      <w:marBottom w:val="0"/>
      <w:divBdr>
        <w:top w:val="none" w:sz="0" w:space="0" w:color="auto"/>
        <w:left w:val="none" w:sz="0" w:space="0" w:color="auto"/>
        <w:bottom w:val="none" w:sz="0" w:space="0" w:color="auto"/>
        <w:right w:val="none" w:sz="0" w:space="0" w:color="auto"/>
      </w:divBdr>
    </w:div>
    <w:div w:id="1289892343">
      <w:bodyDiv w:val="1"/>
      <w:marLeft w:val="0"/>
      <w:marRight w:val="0"/>
      <w:marTop w:val="0"/>
      <w:marBottom w:val="0"/>
      <w:divBdr>
        <w:top w:val="none" w:sz="0" w:space="0" w:color="auto"/>
        <w:left w:val="none" w:sz="0" w:space="0" w:color="auto"/>
        <w:bottom w:val="none" w:sz="0" w:space="0" w:color="auto"/>
        <w:right w:val="none" w:sz="0" w:space="0" w:color="auto"/>
      </w:divBdr>
    </w:div>
    <w:div w:id="1388647425">
      <w:bodyDiv w:val="1"/>
      <w:marLeft w:val="0"/>
      <w:marRight w:val="0"/>
      <w:marTop w:val="0"/>
      <w:marBottom w:val="0"/>
      <w:divBdr>
        <w:top w:val="none" w:sz="0" w:space="0" w:color="auto"/>
        <w:left w:val="none" w:sz="0" w:space="0" w:color="auto"/>
        <w:bottom w:val="none" w:sz="0" w:space="0" w:color="auto"/>
        <w:right w:val="none" w:sz="0" w:space="0" w:color="auto"/>
      </w:divBdr>
    </w:div>
    <w:div w:id="1411659798">
      <w:bodyDiv w:val="1"/>
      <w:marLeft w:val="0"/>
      <w:marRight w:val="0"/>
      <w:marTop w:val="0"/>
      <w:marBottom w:val="0"/>
      <w:divBdr>
        <w:top w:val="none" w:sz="0" w:space="0" w:color="auto"/>
        <w:left w:val="none" w:sz="0" w:space="0" w:color="auto"/>
        <w:bottom w:val="none" w:sz="0" w:space="0" w:color="auto"/>
        <w:right w:val="none" w:sz="0" w:space="0" w:color="auto"/>
      </w:divBdr>
    </w:div>
    <w:div w:id="1626233360">
      <w:bodyDiv w:val="1"/>
      <w:marLeft w:val="0"/>
      <w:marRight w:val="0"/>
      <w:marTop w:val="0"/>
      <w:marBottom w:val="0"/>
      <w:divBdr>
        <w:top w:val="none" w:sz="0" w:space="0" w:color="auto"/>
        <w:left w:val="none" w:sz="0" w:space="0" w:color="auto"/>
        <w:bottom w:val="none" w:sz="0" w:space="0" w:color="auto"/>
        <w:right w:val="none" w:sz="0" w:space="0" w:color="auto"/>
      </w:divBdr>
    </w:div>
    <w:div w:id="1843009625">
      <w:bodyDiv w:val="1"/>
      <w:marLeft w:val="0"/>
      <w:marRight w:val="0"/>
      <w:marTop w:val="0"/>
      <w:marBottom w:val="0"/>
      <w:divBdr>
        <w:top w:val="none" w:sz="0" w:space="0" w:color="auto"/>
        <w:left w:val="none" w:sz="0" w:space="0" w:color="auto"/>
        <w:bottom w:val="none" w:sz="0" w:space="0" w:color="auto"/>
        <w:right w:val="none" w:sz="0" w:space="0" w:color="auto"/>
      </w:divBdr>
    </w:div>
    <w:div w:id="1897667609">
      <w:bodyDiv w:val="1"/>
      <w:marLeft w:val="0"/>
      <w:marRight w:val="0"/>
      <w:marTop w:val="0"/>
      <w:marBottom w:val="0"/>
      <w:divBdr>
        <w:top w:val="none" w:sz="0" w:space="0" w:color="auto"/>
        <w:left w:val="none" w:sz="0" w:space="0" w:color="auto"/>
        <w:bottom w:val="none" w:sz="0" w:space="0" w:color="auto"/>
        <w:right w:val="none" w:sz="0" w:space="0" w:color="auto"/>
      </w:divBdr>
    </w:div>
    <w:div w:id="2047488682">
      <w:bodyDiv w:val="1"/>
      <w:marLeft w:val="0"/>
      <w:marRight w:val="0"/>
      <w:marTop w:val="0"/>
      <w:marBottom w:val="0"/>
      <w:divBdr>
        <w:top w:val="none" w:sz="0" w:space="0" w:color="auto"/>
        <w:left w:val="none" w:sz="0" w:space="0" w:color="auto"/>
        <w:bottom w:val="none" w:sz="0" w:space="0" w:color="auto"/>
        <w:right w:val="none" w:sz="0" w:space="0" w:color="auto"/>
      </w:divBdr>
    </w:div>
    <w:div w:id="2068333156">
      <w:bodyDiv w:val="1"/>
      <w:marLeft w:val="0"/>
      <w:marRight w:val="0"/>
      <w:marTop w:val="0"/>
      <w:marBottom w:val="0"/>
      <w:divBdr>
        <w:top w:val="none" w:sz="0" w:space="0" w:color="auto"/>
        <w:left w:val="none" w:sz="0" w:space="0" w:color="auto"/>
        <w:bottom w:val="none" w:sz="0" w:space="0" w:color="auto"/>
        <w:right w:val="none" w:sz="0" w:space="0" w:color="auto"/>
      </w:divBdr>
    </w:div>
    <w:div w:id="20912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FA43-A673-4F45-9DB0-5E4B27B7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1282</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Grafton</dc:creator>
  <cp:keywords/>
  <dc:description/>
  <cp:lastModifiedBy>Hovhannes Sarajyan</cp:lastModifiedBy>
  <cp:revision>44</cp:revision>
  <cp:lastPrinted>2021-02-09T07:23:00Z</cp:lastPrinted>
  <dcterms:created xsi:type="dcterms:W3CDTF">2021-10-29T07:37:00Z</dcterms:created>
  <dcterms:modified xsi:type="dcterms:W3CDTF">2021-11-01T12:53:00Z</dcterms:modified>
</cp:coreProperties>
</file>