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621B" w14:textId="6D6B1F9A" w:rsidR="006923D6" w:rsidRPr="006923D6" w:rsidRDefault="006923D6" w:rsidP="006923D6">
      <w:pPr>
        <w:jc w:val="center"/>
        <w:rPr>
          <w:rFonts w:ascii="Verdana" w:hAnsi="Verdana"/>
          <w:b/>
          <w:bCs/>
          <w:sz w:val="28"/>
          <w:szCs w:val="28"/>
        </w:rPr>
      </w:pPr>
      <w:r>
        <w:rPr>
          <w:rFonts w:ascii="Verdana" w:hAnsi="Verdana"/>
          <w:b/>
          <w:bCs/>
          <w:sz w:val="28"/>
          <w:szCs w:val="28"/>
        </w:rPr>
        <w:t>New guidelines provide roadmap for safe reopening of schools</w:t>
      </w:r>
    </w:p>
    <w:p w14:paraId="6F7C3ACC" w14:textId="41A839B3" w:rsidR="006923D6" w:rsidRPr="006923D6" w:rsidRDefault="006923D6" w:rsidP="006923D6">
      <w:pPr>
        <w:rPr>
          <w:rFonts w:ascii="Verdana" w:hAnsi="Verdana"/>
          <w:sz w:val="20"/>
          <w:szCs w:val="20"/>
        </w:rPr>
      </w:pPr>
      <w:r>
        <w:rPr>
          <w:rFonts w:ascii="Verdana" w:hAnsi="Verdana"/>
          <w:b/>
          <w:bCs/>
          <w:sz w:val="20"/>
          <w:szCs w:val="20"/>
        </w:rPr>
        <w:t xml:space="preserve">NEW YORK/PARIS/ROME, 30 April 2020 – </w:t>
      </w:r>
      <w:r>
        <w:rPr>
          <w:rFonts w:ascii="Verdana" w:hAnsi="Verdana"/>
          <w:sz w:val="20"/>
          <w:szCs w:val="20"/>
        </w:rPr>
        <w:t xml:space="preserve">UNESCO, UNICEF, WFP and World Bank today issued new </w:t>
      </w:r>
      <w:hyperlink r:id="rId5" w:history="1">
        <w:r>
          <w:rPr>
            <w:rStyle w:val="Hyperlink"/>
            <w:rFonts w:ascii="Verdana" w:hAnsi="Verdana"/>
            <w:sz w:val="20"/>
            <w:szCs w:val="20"/>
          </w:rPr>
          <w:t>guidelines</w:t>
        </w:r>
      </w:hyperlink>
      <w:r>
        <w:rPr>
          <w:rFonts w:ascii="Verdana" w:hAnsi="Verdana"/>
          <w:sz w:val="20"/>
          <w:szCs w:val="20"/>
        </w:rPr>
        <w:t xml:space="preserve"> on the safe reopening of schools amidst ongoing closures affecting nearly 1.3 billion students worldwide. </w:t>
      </w:r>
    </w:p>
    <w:p w14:paraId="76678938" w14:textId="6DBA7173" w:rsidR="006923D6" w:rsidRDefault="006923D6" w:rsidP="006923D6">
      <w:pPr>
        <w:rPr>
          <w:rFonts w:ascii="Verdana" w:hAnsi="Verdana"/>
          <w:sz w:val="20"/>
          <w:szCs w:val="20"/>
        </w:rPr>
      </w:pPr>
      <w:r>
        <w:rPr>
          <w:rFonts w:ascii="Verdana" w:hAnsi="Verdana"/>
          <w:sz w:val="20"/>
          <w:szCs w:val="20"/>
        </w:rPr>
        <w:t>The agencies also warned that the widespread closures of educational facilities in response to the COVID-19 pandemic present an unprecedented risk to children’s education and wellbeing, particularly for the most marginalized children who rely on school for their education, health, safety and nutrition. The guidelines offer practical advice for national and local authorities on how to keep children safe when they return to school.</w:t>
      </w:r>
    </w:p>
    <w:p w14:paraId="3AF86B29" w14:textId="249F386C" w:rsidR="006923D6" w:rsidRDefault="006923D6" w:rsidP="006923D6">
      <w:pPr>
        <w:rPr>
          <w:rFonts w:ascii="Verdana" w:hAnsi="Verdana"/>
          <w:sz w:val="20"/>
          <w:szCs w:val="20"/>
        </w:rPr>
      </w:pPr>
      <w:r>
        <w:rPr>
          <w:rFonts w:ascii="Verdana" w:hAnsi="Verdana"/>
          <w:sz w:val="20"/>
          <w:szCs w:val="20"/>
        </w:rPr>
        <w:t xml:space="preserve">“Rising inequality, poor health outcomes, violence, child </w:t>
      </w:r>
      <w:proofErr w:type="spellStart"/>
      <w:r>
        <w:rPr>
          <w:rFonts w:ascii="Verdana" w:hAnsi="Verdana"/>
          <w:sz w:val="20"/>
          <w:szCs w:val="20"/>
        </w:rPr>
        <w:t>labour</w:t>
      </w:r>
      <w:proofErr w:type="spellEnd"/>
      <w:r>
        <w:rPr>
          <w:rFonts w:ascii="Verdana" w:hAnsi="Verdana"/>
          <w:sz w:val="20"/>
          <w:szCs w:val="20"/>
        </w:rPr>
        <w:t xml:space="preserve"> and child marriage are just some of the long-term threats for children who miss out on school,” said Henrietta Fore, UNICEF Executive Director. “We know the longer children stay out of school, the less likely they are to ever return. Unless we prioritize the reopening of schools – when it is safe to do so – we will likely see a devastating reversal in education gains.” </w:t>
      </w:r>
    </w:p>
    <w:p w14:paraId="4905670B" w14:textId="0B445397" w:rsidR="006923D6" w:rsidRDefault="006923D6" w:rsidP="006923D6">
      <w:pPr>
        <w:rPr>
          <w:rFonts w:ascii="Verdana" w:hAnsi="Verdana"/>
          <w:sz w:val="20"/>
          <w:szCs w:val="20"/>
        </w:rPr>
      </w:pPr>
      <w:r>
        <w:rPr>
          <w:rFonts w:ascii="Verdana" w:hAnsi="Verdana"/>
          <w:sz w:val="20"/>
          <w:szCs w:val="20"/>
        </w:rPr>
        <w:t>The new guidelines note that while there is not yet enough evidence to measure the impact of school closures on disease transmission rates, the adverse effects of school closures on children’s safety and learning are well documented. Gains made in increasing access to children’s education in recent decades risk being lost and, in the worse cases, reversed completely.</w:t>
      </w:r>
    </w:p>
    <w:p w14:paraId="6F4EDC99" w14:textId="57477EDA" w:rsidR="006923D6" w:rsidRDefault="006923D6" w:rsidP="006923D6">
      <w:pPr>
        <w:pStyle w:val="NormalWeb"/>
        <w:shd w:val="clear" w:color="auto" w:fill="FFFFFF"/>
        <w:spacing w:before="0" w:beforeAutospacing="0" w:after="0" w:afterAutospacing="0"/>
        <w:rPr>
          <w:rFonts w:ascii="Verdana" w:hAnsi="Verdana"/>
          <w:color w:val="000000"/>
          <w:sz w:val="20"/>
          <w:szCs w:val="20"/>
          <w:lang w:val="en-GB"/>
        </w:rPr>
      </w:pPr>
      <w:r>
        <w:rPr>
          <w:rFonts w:ascii="Verdana" w:hAnsi="Verdana"/>
          <w:color w:val="000000"/>
          <w:sz w:val="20"/>
          <w:szCs w:val="20"/>
          <w:lang w:val="en-GB"/>
        </w:rPr>
        <w:t xml:space="preserve">“In the poorest countries, children often rely on schools for their only meal of the day. But with many schools now closed because of COVID, 370 million children are missing out on these nutritious meals which are a lifeline for poor families. They are also being denied the health support they normally get through school. This could do lasting damage, so when schools reopen it is critical that these meal programmes and health services are restored, which can also help to draw the most vulnerable children back to school,” said David Beasley, WFP Executive Director. </w:t>
      </w:r>
    </w:p>
    <w:p w14:paraId="6CDA5778" w14:textId="77777777" w:rsidR="006923D6" w:rsidRDefault="006923D6" w:rsidP="006923D6">
      <w:pPr>
        <w:pStyle w:val="NormalWeb"/>
        <w:shd w:val="clear" w:color="auto" w:fill="FFFFFF"/>
        <w:spacing w:before="0" w:beforeAutospacing="0" w:after="0" w:afterAutospacing="0"/>
        <w:rPr>
          <w:rFonts w:ascii="Verdana" w:hAnsi="Verdana"/>
          <w:sz w:val="20"/>
          <w:szCs w:val="20"/>
          <w:lang w:val="en-GB"/>
        </w:rPr>
      </w:pPr>
    </w:p>
    <w:p w14:paraId="099255AD" w14:textId="0F5A947A" w:rsidR="006923D6" w:rsidRPr="006923D6" w:rsidRDefault="006923D6" w:rsidP="006923D6">
      <w:pPr>
        <w:rPr>
          <w:rFonts w:ascii="Verdana" w:hAnsi="Verdana"/>
          <w:sz w:val="20"/>
          <w:szCs w:val="20"/>
        </w:rPr>
      </w:pPr>
      <w:r>
        <w:rPr>
          <w:rFonts w:ascii="Verdana" w:hAnsi="Verdana"/>
          <w:sz w:val="20"/>
          <w:szCs w:val="20"/>
        </w:rPr>
        <w:t xml:space="preserve">The best interests of children and overall public health considerations – based on an assessment of the associated benefits and risks to education, public health and socio-economic factors – must be central to national and local authorities’ decisions to reopen schools, the guidelines say. </w:t>
      </w:r>
    </w:p>
    <w:p w14:paraId="2A9E494D" w14:textId="20FEC5CB" w:rsidR="006923D6" w:rsidRDefault="006923D6" w:rsidP="006923D6">
      <w:pPr>
        <w:rPr>
          <w:rFonts w:ascii="Verdana" w:hAnsi="Verdana"/>
          <w:sz w:val="20"/>
          <w:szCs w:val="20"/>
        </w:rPr>
      </w:pPr>
      <w:r>
        <w:rPr>
          <w:rFonts w:ascii="Verdana" w:hAnsi="Verdana"/>
          <w:sz w:val="20"/>
          <w:szCs w:val="20"/>
        </w:rPr>
        <w:t>Schools must look at how they can reopen better – with improved learning and more comprehensive support for children at the school including health, nutrition, psychosocial support and water, sanitation and hygiene facilities.</w:t>
      </w:r>
    </w:p>
    <w:p w14:paraId="591D39CC" w14:textId="68F6BC6F" w:rsidR="006923D6" w:rsidRDefault="006923D6" w:rsidP="006923D6">
      <w:pPr>
        <w:rPr>
          <w:rFonts w:ascii="Verdana" w:hAnsi="Verdana"/>
          <w:sz w:val="20"/>
          <w:szCs w:val="20"/>
        </w:rPr>
      </w:pPr>
      <w:r>
        <w:rPr>
          <w:rFonts w:ascii="Verdana" w:hAnsi="Verdana"/>
          <w:sz w:val="20"/>
          <w:szCs w:val="20"/>
        </w:rPr>
        <w:t xml:space="preserve">As countries grapple with when to reopen schools, UNESCO, UNICEF, WFP and World Bank – as part of the </w:t>
      </w:r>
      <w:hyperlink r:id="rId6" w:history="1">
        <w:r>
          <w:rPr>
            <w:rStyle w:val="Hyperlink"/>
            <w:rFonts w:ascii="Verdana" w:hAnsi="Verdana"/>
            <w:sz w:val="20"/>
            <w:szCs w:val="20"/>
          </w:rPr>
          <w:t>Global Education Coalition</w:t>
        </w:r>
      </w:hyperlink>
      <w:r>
        <w:rPr>
          <w:rFonts w:ascii="Verdana" w:hAnsi="Verdana"/>
          <w:sz w:val="20"/>
          <w:szCs w:val="20"/>
        </w:rPr>
        <w:t xml:space="preserve"> – urge governments to assess the benefits of classroom-based instruction compared to remote learning, and the risk factors related to reopening of schools, noting the inconclusive evidence around the infection risks related to school attendance.</w:t>
      </w:r>
    </w:p>
    <w:p w14:paraId="513F2392" w14:textId="77777777" w:rsidR="006923D6" w:rsidRDefault="006923D6" w:rsidP="006923D6">
      <w:pPr>
        <w:rPr>
          <w:rFonts w:ascii="Verdana" w:hAnsi="Verdana"/>
          <w:sz w:val="20"/>
          <w:szCs w:val="20"/>
        </w:rPr>
      </w:pPr>
      <w:r>
        <w:rPr>
          <w:rFonts w:ascii="Verdana" w:hAnsi="Verdana"/>
          <w:sz w:val="20"/>
          <w:szCs w:val="20"/>
        </w:rPr>
        <w:t>The guidelines include:</w:t>
      </w:r>
    </w:p>
    <w:p w14:paraId="7E44776B"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Policy reform:</w:t>
      </w:r>
      <w:r>
        <w:rPr>
          <w:rFonts w:ascii="Verdana" w:eastAsia="Times New Roman" w:hAnsi="Verdana"/>
          <w:sz w:val="20"/>
          <w:szCs w:val="20"/>
          <w:lang w:val="en-GB"/>
        </w:rPr>
        <w:t xml:space="preserve"> Policy implications address all dimensions of the guidelines, including clear policies for school opening and closure during public health emergencies, </w:t>
      </w:r>
      <w:r>
        <w:rPr>
          <w:rFonts w:ascii="Verdana" w:eastAsia="Times New Roman" w:hAnsi="Verdana"/>
          <w:sz w:val="20"/>
          <w:szCs w:val="20"/>
          <w:lang w:val="en-GB"/>
        </w:rPr>
        <w:lastRenderedPageBreak/>
        <w:t>reforms needed to expand equitable access for marginalised and out of school children as well as strengthen and standardize remote learning practices.</w:t>
      </w:r>
    </w:p>
    <w:p w14:paraId="23A64CD8"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Financing requirements:</w:t>
      </w:r>
      <w:r>
        <w:rPr>
          <w:rFonts w:ascii="Verdana" w:eastAsia="Times New Roman" w:hAnsi="Verdana"/>
          <w:sz w:val="20"/>
          <w:szCs w:val="20"/>
          <w:lang w:val="en-GB"/>
        </w:rPr>
        <w:t xml:space="preserve"> Address the impact of COVID-19 on education and invest in strengthening education systems for recovery and resilience.</w:t>
      </w:r>
    </w:p>
    <w:p w14:paraId="3DDEAF72"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Safe operations:</w:t>
      </w:r>
      <w:r>
        <w:rPr>
          <w:rFonts w:ascii="Verdana" w:eastAsia="Times New Roman" w:hAnsi="Verdana"/>
          <w:sz w:val="20"/>
          <w:szCs w:val="20"/>
          <w:lang w:val="en-GB"/>
        </w:rPr>
        <w:t xml:space="preserve"> Ensure conditions that reduce disease transmission, safeguard essential services and supplies and promote healthy behaviour. This includes access to soap and clean water for safe handwashing, procedures on when staff or students feel unwell, protocols on social distancing and good hygiene practices.</w:t>
      </w:r>
    </w:p>
    <w:p w14:paraId="22FD6C00"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Compensating learning:</w:t>
      </w:r>
      <w:r>
        <w:rPr>
          <w:rFonts w:ascii="Verdana" w:eastAsia="Times New Roman" w:hAnsi="Verdana"/>
          <w:sz w:val="20"/>
          <w:szCs w:val="20"/>
          <w:lang w:val="en-GB"/>
        </w:rPr>
        <w:t xml:space="preserve"> Focus on practices that compensate for lost instructional time, strengthen pedagogy and build on hybrid learning models such as integrating approaches in remote and distance education. This must include knowledge on disease transmission and prevention.</w:t>
      </w:r>
    </w:p>
    <w:p w14:paraId="6F250FB1"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Wellness and protection:</w:t>
      </w:r>
      <w:r>
        <w:rPr>
          <w:rFonts w:ascii="Verdana" w:eastAsia="Times New Roman" w:hAnsi="Verdana"/>
          <w:sz w:val="20"/>
          <w:szCs w:val="20"/>
          <w:lang w:val="en-GB"/>
        </w:rPr>
        <w:t xml:space="preserve"> Expand the focus on students’ well-being and reinforce the protection of children through enhanced referral mechanisms and the provision of essential school-based services including healthcare and school feeding. </w:t>
      </w:r>
    </w:p>
    <w:p w14:paraId="7BD7F561" w14:textId="77777777" w:rsidR="006923D6" w:rsidRDefault="006923D6" w:rsidP="006923D6">
      <w:pPr>
        <w:pStyle w:val="ListParagraph"/>
        <w:numPr>
          <w:ilvl w:val="0"/>
          <w:numId w:val="7"/>
        </w:numPr>
        <w:spacing w:after="0" w:line="240" w:lineRule="auto"/>
        <w:rPr>
          <w:rFonts w:ascii="Verdana" w:eastAsia="Times New Roman" w:hAnsi="Verdana"/>
          <w:sz w:val="20"/>
          <w:szCs w:val="20"/>
          <w:lang w:val="en-GB"/>
        </w:rPr>
      </w:pPr>
      <w:r>
        <w:rPr>
          <w:rFonts w:ascii="Verdana" w:eastAsia="Times New Roman" w:hAnsi="Verdana"/>
          <w:b/>
          <w:bCs/>
          <w:sz w:val="20"/>
          <w:szCs w:val="20"/>
          <w:lang w:val="en-GB"/>
        </w:rPr>
        <w:t>Reaching the most marginalised:</w:t>
      </w:r>
      <w:r>
        <w:rPr>
          <w:rFonts w:ascii="Verdana" w:eastAsia="Times New Roman" w:hAnsi="Verdana"/>
          <w:sz w:val="20"/>
          <w:szCs w:val="20"/>
          <w:lang w:val="en-GB"/>
        </w:rPr>
        <w:t xml:space="preserve"> Adapt school opening policies and practices to expand access to marginalised groups such as previously out-of-school children, displaced and migrant children and minorities. Diversify critical communications and outreach by making them available in relevant languages and in accessible formats.</w:t>
      </w:r>
    </w:p>
    <w:p w14:paraId="28BBBDC3" w14:textId="77777777" w:rsidR="002E3435" w:rsidRDefault="002E3435" w:rsidP="002E3435">
      <w:pPr>
        <w:spacing w:after="0" w:line="240" w:lineRule="auto"/>
        <w:rPr>
          <w:rFonts w:ascii="Sylfaen" w:hAnsi="Sylfaen" w:cs="Arial"/>
          <w:color w:val="222222"/>
          <w:sz w:val="20"/>
          <w:szCs w:val="20"/>
          <w:shd w:val="clear" w:color="auto" w:fill="FFFFFF"/>
        </w:rPr>
      </w:pPr>
    </w:p>
    <w:p w14:paraId="2B5BAECF" w14:textId="33A0AB68" w:rsidR="002E3435" w:rsidRDefault="002E3435">
      <w:pPr>
        <w:rPr>
          <w:rFonts w:ascii="Sylfaen" w:hAnsi="Sylfaen" w:cs="Arial"/>
          <w:color w:val="222222"/>
          <w:sz w:val="20"/>
          <w:szCs w:val="20"/>
          <w:shd w:val="clear" w:color="auto" w:fill="FFFFFF"/>
        </w:rPr>
      </w:pPr>
    </w:p>
    <w:sectPr w:rsidR="002E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libri"/>
    <w:panose1 w:val="00000000000000000000"/>
    <w:charset w:val="00"/>
    <w:family w:val="roman"/>
    <w:notTrueType/>
    <w:pitch w:val="default"/>
  </w:font>
  <w:font w:name=".SFUIText">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8D2"/>
    <w:multiLevelType w:val="hybridMultilevel"/>
    <w:tmpl w:val="344CB052"/>
    <w:lvl w:ilvl="0" w:tplc="05F4C236">
      <w:start w:val="2063"/>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4E4"/>
    <w:multiLevelType w:val="hybridMultilevel"/>
    <w:tmpl w:val="1DDE4206"/>
    <w:lvl w:ilvl="0" w:tplc="04090001">
      <w:start w:val="1"/>
      <w:numFmt w:val="bullet"/>
      <w:lvlText w:val=""/>
      <w:lvlJc w:val="left"/>
      <w:pPr>
        <w:ind w:left="720" w:hanging="360"/>
      </w:pPr>
      <w:rPr>
        <w:rFonts w:ascii="Symbol" w:hAnsi="Symbol" w:hint="default"/>
      </w:rPr>
    </w:lvl>
    <w:lvl w:ilvl="1" w:tplc="46D6DB30">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AD0"/>
    <w:multiLevelType w:val="hybridMultilevel"/>
    <w:tmpl w:val="7010911E"/>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2A16"/>
    <w:multiLevelType w:val="hybridMultilevel"/>
    <w:tmpl w:val="769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64F"/>
    <w:multiLevelType w:val="hybridMultilevel"/>
    <w:tmpl w:val="CA70C466"/>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2FEA"/>
    <w:multiLevelType w:val="hybridMultilevel"/>
    <w:tmpl w:val="DE5E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810A51"/>
    <w:multiLevelType w:val="multilevel"/>
    <w:tmpl w:val="072A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12A9"/>
    <w:multiLevelType w:val="multilevel"/>
    <w:tmpl w:val="097A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E6381"/>
    <w:multiLevelType w:val="hybridMultilevel"/>
    <w:tmpl w:val="21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96AD5"/>
    <w:multiLevelType w:val="hybridMultilevel"/>
    <w:tmpl w:val="EEE43484"/>
    <w:lvl w:ilvl="0" w:tplc="24288308">
      <w:numFmt w:val="bullet"/>
      <w:lvlText w:val="-"/>
      <w:lvlJc w:val="left"/>
      <w:pPr>
        <w:ind w:left="720" w:hanging="360"/>
      </w:pPr>
      <w:rPr>
        <w:rFonts w:ascii="Sylfaen" w:eastAsia="Times New Roman"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9"/>
  </w:num>
  <w:num w:numId="5">
    <w:abstractNumId w:val="4"/>
  </w:num>
  <w:num w:numId="6">
    <w:abstractNumId w:val="7"/>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35"/>
    <w:rsid w:val="00277D51"/>
    <w:rsid w:val="002E3435"/>
    <w:rsid w:val="0053481C"/>
    <w:rsid w:val="00535318"/>
    <w:rsid w:val="006923D6"/>
    <w:rsid w:val="008F3F70"/>
    <w:rsid w:val="009F46C9"/>
    <w:rsid w:val="00C16920"/>
    <w:rsid w:val="00C56C00"/>
    <w:rsid w:val="00DA62EA"/>
    <w:rsid w:val="00E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5D26"/>
  <w15:chartTrackingRefBased/>
  <w15:docId w15:val="{8E4B586E-8B1B-4C31-A4B7-A62766D8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3435"/>
    <w:rPr>
      <w:b/>
      <w:bCs/>
    </w:rPr>
  </w:style>
  <w:style w:type="character" w:styleId="Emphasis">
    <w:name w:val="Emphasis"/>
    <w:basedOn w:val="DefaultParagraphFont"/>
    <w:uiPriority w:val="20"/>
    <w:qFormat/>
    <w:rsid w:val="002E3435"/>
    <w:rPr>
      <w:i/>
      <w:iCs/>
    </w:rPr>
  </w:style>
  <w:style w:type="character" w:styleId="Hyperlink">
    <w:name w:val="Hyperlink"/>
    <w:basedOn w:val="DefaultParagraphFont"/>
    <w:uiPriority w:val="99"/>
    <w:semiHidden/>
    <w:unhideWhenUsed/>
    <w:rsid w:val="002E3435"/>
    <w:rPr>
      <w:color w:val="0000FF"/>
      <w:u w:val="single"/>
    </w:rPr>
  </w:style>
  <w:style w:type="paragraph" w:styleId="NormalWeb">
    <w:name w:val="Normal (Web)"/>
    <w:basedOn w:val="Normal"/>
    <w:unhideWhenUsed/>
    <w:rsid w:val="002E34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F70"/>
    <w:rPr>
      <w:rFonts w:ascii="Segoe UI" w:hAnsi="Segoe UI" w:cs="Segoe UI"/>
      <w:sz w:val="18"/>
      <w:szCs w:val="18"/>
    </w:rPr>
  </w:style>
  <w:style w:type="paragraph" w:styleId="ListParagraph">
    <w:name w:val="List Paragraph"/>
    <w:basedOn w:val="Normal"/>
    <w:uiPriority w:val="34"/>
    <w:qFormat/>
    <w:rsid w:val="00C56C00"/>
    <w:pPr>
      <w:ind w:left="720"/>
      <w:contextualSpacing/>
    </w:pPr>
  </w:style>
  <w:style w:type="paragraph" w:customStyle="1" w:styleId="p1">
    <w:name w:val="p1"/>
    <w:basedOn w:val="Normal"/>
    <w:rsid w:val="006923D6"/>
    <w:pPr>
      <w:spacing w:after="0" w:line="240" w:lineRule="auto"/>
    </w:pPr>
    <w:rPr>
      <w:rFonts w:ascii=".SF UI Text" w:eastAsia="SimSun" w:hAnsi=".SF UI Text" w:cs="Times New Roman"/>
      <w:color w:val="454545"/>
      <w:sz w:val="26"/>
      <w:szCs w:val="26"/>
    </w:rPr>
  </w:style>
  <w:style w:type="paragraph" w:customStyle="1" w:styleId="p2">
    <w:name w:val="p2"/>
    <w:basedOn w:val="Normal"/>
    <w:rsid w:val="006923D6"/>
    <w:pPr>
      <w:spacing w:after="0" w:line="240" w:lineRule="auto"/>
    </w:pPr>
    <w:rPr>
      <w:rFonts w:ascii=".SF UI Text" w:eastAsia="SimSun" w:hAnsi=".SF UI Text" w:cs="Times New Roman"/>
      <w:color w:val="454545"/>
      <w:sz w:val="26"/>
      <w:szCs w:val="26"/>
    </w:rPr>
  </w:style>
  <w:style w:type="character" w:customStyle="1" w:styleId="s1">
    <w:name w:val="s1"/>
    <w:basedOn w:val="DefaultParagraphFont"/>
    <w:rsid w:val="006923D6"/>
    <w:rPr>
      <w:rFonts w:ascii=".SFUIText" w:hAnsi=".SFUIText" w:hint="default"/>
      <w:b w:val="0"/>
      <w:bCs w:val="0"/>
      <w:i w:val="0"/>
      <w:iCs w:val="0"/>
      <w:sz w:val="34"/>
      <w:szCs w:val="34"/>
    </w:rPr>
  </w:style>
  <w:style w:type="paragraph" w:customStyle="1" w:styleId="xmsonormal">
    <w:name w:val="x_msonormal"/>
    <w:basedOn w:val="Normal"/>
    <w:rsid w:val="006923D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3229">
      <w:bodyDiv w:val="1"/>
      <w:marLeft w:val="0"/>
      <w:marRight w:val="0"/>
      <w:marTop w:val="0"/>
      <w:marBottom w:val="0"/>
      <w:divBdr>
        <w:top w:val="none" w:sz="0" w:space="0" w:color="auto"/>
        <w:left w:val="none" w:sz="0" w:space="0" w:color="auto"/>
        <w:bottom w:val="none" w:sz="0" w:space="0" w:color="auto"/>
        <w:right w:val="none" w:sz="0" w:space="0" w:color="auto"/>
      </w:divBdr>
    </w:div>
    <w:div w:id="981009373">
      <w:bodyDiv w:val="1"/>
      <w:marLeft w:val="0"/>
      <w:marRight w:val="0"/>
      <w:marTop w:val="0"/>
      <w:marBottom w:val="0"/>
      <w:divBdr>
        <w:top w:val="none" w:sz="0" w:space="0" w:color="auto"/>
        <w:left w:val="none" w:sz="0" w:space="0" w:color="auto"/>
        <w:bottom w:val="none" w:sz="0" w:space="0" w:color="auto"/>
        <w:right w:val="none" w:sz="0" w:space="0" w:color="auto"/>
      </w:divBdr>
    </w:div>
    <w:div w:id="1405833862">
      <w:bodyDiv w:val="1"/>
      <w:marLeft w:val="0"/>
      <w:marRight w:val="0"/>
      <w:marTop w:val="0"/>
      <w:marBottom w:val="0"/>
      <w:divBdr>
        <w:top w:val="none" w:sz="0" w:space="0" w:color="auto"/>
        <w:left w:val="none" w:sz="0" w:space="0" w:color="auto"/>
        <w:bottom w:val="none" w:sz="0" w:space="0" w:color="auto"/>
        <w:right w:val="none" w:sz="0" w:space="0" w:color="auto"/>
      </w:divBdr>
    </w:div>
    <w:div w:id="185553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unesco.org/covid19/educationresponse/globalcoalition" TargetMode="External"/><Relationship Id="rId5" Type="http://schemas.openxmlformats.org/officeDocument/2006/relationships/hyperlink" Target="https://www.unicef.org/documents/framework-reopenin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Mariam Alikhanova</cp:lastModifiedBy>
  <cp:revision>3</cp:revision>
  <dcterms:created xsi:type="dcterms:W3CDTF">2021-11-22T18:07:00Z</dcterms:created>
  <dcterms:modified xsi:type="dcterms:W3CDTF">2021-11-22T18:08:00Z</dcterms:modified>
</cp:coreProperties>
</file>