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9BF17" w14:textId="77777777" w:rsidR="000D03D9" w:rsidRPr="00206044" w:rsidRDefault="000D03D9" w:rsidP="000D03D9">
      <w:pPr>
        <w:spacing w:line="257" w:lineRule="auto"/>
        <w:jc w:val="center"/>
        <w:rPr>
          <w:rFonts w:asciiTheme="minorHAnsi" w:eastAsia="Arial" w:hAnsiTheme="minorHAnsi" w:cs="Arial"/>
          <w:b/>
          <w:bCs/>
          <w:sz w:val="32"/>
          <w:szCs w:val="32"/>
          <w:lang w:val="en-GB"/>
        </w:rPr>
      </w:pPr>
      <w:r w:rsidRPr="00206044">
        <w:rPr>
          <w:rFonts w:asciiTheme="minorHAnsi" w:hAnsiTheme="minorHAnsi" w:cs="Arial"/>
          <w:b/>
          <w:bCs/>
          <w:sz w:val="32"/>
          <w:szCs w:val="32"/>
          <w:lang w:val="en-GB"/>
        </w:rPr>
        <w:t>COVID-19 pandemic leads to major backsliding on childhood vaccinations, new WHO, UNICEF data shows</w:t>
      </w:r>
    </w:p>
    <w:p w14:paraId="39E4AB99" w14:textId="77777777" w:rsidR="000D03D9" w:rsidRPr="00206044" w:rsidRDefault="000D03D9" w:rsidP="000D03D9">
      <w:pPr>
        <w:spacing w:line="257" w:lineRule="auto"/>
        <w:jc w:val="center"/>
        <w:rPr>
          <w:rFonts w:asciiTheme="minorHAnsi" w:eastAsia="Arial" w:hAnsiTheme="minorHAnsi" w:cs="Arial"/>
          <w:b/>
          <w:bCs/>
          <w:i/>
          <w:iCs/>
          <w:lang w:val="en-GB"/>
        </w:rPr>
      </w:pPr>
      <w:r w:rsidRPr="00206044">
        <w:rPr>
          <w:rFonts w:asciiTheme="minorHAnsi" w:eastAsia="Arial" w:hAnsiTheme="minorHAnsi" w:cs="Arial"/>
          <w:b/>
          <w:bCs/>
          <w:i/>
          <w:iCs/>
          <w:lang w:val="en-GB"/>
        </w:rPr>
        <w:t xml:space="preserve">23 million children missed out on basic childhood vaccines through routine health services in 2020, the highest number since 2009 and 3.7 million more than in 2019 </w:t>
      </w:r>
    </w:p>
    <w:p w14:paraId="1497E90C" w14:textId="77777777" w:rsidR="000D03D9" w:rsidRPr="00206044" w:rsidRDefault="000D03D9" w:rsidP="000D03D9">
      <w:pPr>
        <w:spacing w:line="257" w:lineRule="auto"/>
        <w:rPr>
          <w:rFonts w:asciiTheme="minorHAnsi" w:eastAsia="Arial" w:hAnsiTheme="minorHAnsi" w:cs="Arial"/>
          <w:lang w:val="en-GB"/>
        </w:rPr>
      </w:pPr>
      <w:r w:rsidRPr="00206044">
        <w:rPr>
          <w:rFonts w:asciiTheme="minorHAnsi" w:eastAsia="Arial" w:hAnsiTheme="minorHAnsi" w:cs="Arial"/>
          <w:b/>
          <w:bCs/>
          <w:lang w:val="en-GB"/>
        </w:rPr>
        <w:t>GENEVA/NEW YORK, 15</w:t>
      </w:r>
      <w:r w:rsidRPr="00206044">
        <w:rPr>
          <w:rFonts w:asciiTheme="minorHAnsi" w:eastAsia="Arial" w:hAnsiTheme="minorHAnsi" w:cs="Arial"/>
          <w:b/>
          <w:bCs/>
          <w:vertAlign w:val="superscript"/>
          <w:lang w:val="en-GB"/>
        </w:rPr>
        <w:t>th</w:t>
      </w:r>
      <w:r w:rsidRPr="00206044">
        <w:rPr>
          <w:rFonts w:asciiTheme="minorHAnsi" w:eastAsia="Arial" w:hAnsiTheme="minorHAnsi" w:cs="Arial"/>
          <w:b/>
          <w:bCs/>
          <w:lang w:val="en-GB"/>
        </w:rPr>
        <w:t xml:space="preserve"> July 2021 ---</w:t>
      </w:r>
      <w:r w:rsidRPr="00206044">
        <w:rPr>
          <w:rFonts w:asciiTheme="minorHAnsi" w:eastAsia="Arial" w:hAnsiTheme="minorHAnsi" w:cs="Arial"/>
          <w:lang w:val="en-GB"/>
        </w:rPr>
        <w:t xml:space="preserve"> 23 million children missed out on basic vaccines through routine immunization services in 2020 – 3.7 million more than in 2019 - according to official data published today by WHO and UNICEF. This latest set of comprehensive worldwide childhood immunization figures, the first official figures to reflect global service disruptions due to COVID-19, show </w:t>
      </w:r>
      <w:proofErr w:type="gramStart"/>
      <w:r w:rsidRPr="00206044">
        <w:rPr>
          <w:rFonts w:asciiTheme="minorHAnsi" w:eastAsia="Arial" w:hAnsiTheme="minorHAnsi" w:cs="Arial"/>
          <w:lang w:val="en-GB"/>
        </w:rPr>
        <w:t>a majority of</w:t>
      </w:r>
      <w:proofErr w:type="gramEnd"/>
      <w:r w:rsidRPr="00206044">
        <w:rPr>
          <w:rFonts w:asciiTheme="minorHAnsi" w:eastAsia="Arial" w:hAnsiTheme="minorHAnsi" w:cs="Arial"/>
          <w:lang w:val="en-GB"/>
        </w:rPr>
        <w:t xml:space="preserve"> countries last year experienced drops in childhood vaccination rates.</w:t>
      </w:r>
    </w:p>
    <w:p w14:paraId="22D42A62" w14:textId="77777777" w:rsidR="000D03D9" w:rsidRPr="00206044" w:rsidRDefault="000D03D9" w:rsidP="000D03D9">
      <w:pPr>
        <w:spacing w:line="257" w:lineRule="auto"/>
        <w:rPr>
          <w:rFonts w:asciiTheme="minorHAnsi" w:eastAsia="Arial" w:hAnsiTheme="minorHAnsi" w:cs="Arial"/>
          <w:lang w:val="en-GB"/>
        </w:rPr>
      </w:pPr>
      <w:r w:rsidRPr="00206044">
        <w:rPr>
          <w:rFonts w:asciiTheme="minorHAnsi" w:eastAsia="Arial" w:hAnsiTheme="minorHAnsi" w:cs="Arial"/>
          <w:lang w:val="en-GB"/>
        </w:rPr>
        <w:t>Concerningly, most of these – up to 17 million children – likely did not receive a single vaccine during the year, widening already immense inequities in vaccine access. Most of these children live in communities affected by conflict, in under-served remote places, or in informal or slum settings where they face multiple deprivations including limited access to basic health and key social services.</w:t>
      </w:r>
    </w:p>
    <w:p w14:paraId="406AADD8" w14:textId="211C11D7" w:rsidR="000D03D9" w:rsidRPr="00206044" w:rsidRDefault="000D03D9" w:rsidP="000D03D9">
      <w:pPr>
        <w:spacing w:line="240" w:lineRule="auto"/>
        <w:rPr>
          <w:rFonts w:asciiTheme="minorHAnsi" w:eastAsia="Arial" w:hAnsiTheme="minorHAnsi" w:cs="Arial"/>
          <w:color w:val="333333"/>
          <w:lang w:val="en-GB"/>
        </w:rPr>
      </w:pPr>
      <w:r w:rsidRPr="00206044">
        <w:rPr>
          <w:rFonts w:asciiTheme="minorHAnsi" w:eastAsia="Arial" w:hAnsiTheme="minorHAnsi" w:cs="Arial"/>
          <w:lang w:val="en-GB"/>
        </w:rPr>
        <w:t xml:space="preserve">“Even as countries clamour to get their hands on COVID-19 vaccines, we have gone backwards on other vaccinations, leaving children at risk from devastating but preventable diseases like measles, polio or meningitis,” said </w:t>
      </w:r>
      <w:r w:rsidRPr="00206044">
        <w:rPr>
          <w:rFonts w:asciiTheme="minorHAnsi" w:eastAsia="Arial" w:hAnsiTheme="minorHAnsi" w:cs="Arial"/>
          <w:b/>
          <w:bCs/>
          <w:lang w:val="en-GB"/>
        </w:rPr>
        <w:t>Dr Tedros Adhanom Ghebreyesus, WHO Director-General</w:t>
      </w:r>
      <w:r w:rsidRPr="00206044">
        <w:rPr>
          <w:rFonts w:asciiTheme="minorHAnsi" w:eastAsia="Arial" w:hAnsiTheme="minorHAnsi" w:cs="Arial"/>
          <w:lang w:val="en-GB"/>
        </w:rPr>
        <w:t xml:space="preserve">. </w:t>
      </w:r>
    </w:p>
    <w:p w14:paraId="579C12CE" w14:textId="77777777" w:rsidR="000D03D9" w:rsidRPr="00206044" w:rsidRDefault="000D03D9" w:rsidP="000D03D9">
      <w:pPr>
        <w:spacing w:line="240" w:lineRule="auto"/>
        <w:rPr>
          <w:rFonts w:asciiTheme="minorHAnsi" w:hAnsiTheme="minorHAnsi"/>
          <w:lang w:val="en-GB"/>
        </w:rPr>
      </w:pPr>
      <w:r w:rsidRPr="00206044">
        <w:rPr>
          <w:rFonts w:asciiTheme="minorHAnsi" w:eastAsia="Arial" w:hAnsiTheme="minorHAnsi" w:cs="Arial"/>
          <w:b/>
          <w:bCs/>
          <w:lang w:val="en-GB"/>
        </w:rPr>
        <w:t>In all regions, rising numbers of children miss vital first vaccine doses in 2020; millions more miss later vaccines</w:t>
      </w:r>
    </w:p>
    <w:p w14:paraId="198A52CA" w14:textId="77777777" w:rsidR="000D03D9" w:rsidRPr="00206044" w:rsidRDefault="000D03D9" w:rsidP="000D03D9">
      <w:pPr>
        <w:spacing w:line="257" w:lineRule="auto"/>
        <w:rPr>
          <w:rFonts w:asciiTheme="minorHAnsi" w:eastAsia="Arial" w:hAnsiTheme="minorHAnsi" w:cs="Arial"/>
          <w:lang w:val="en-GB"/>
        </w:rPr>
      </w:pPr>
      <w:r w:rsidRPr="00206044">
        <w:rPr>
          <w:rFonts w:asciiTheme="minorHAnsi" w:eastAsia="Arial" w:hAnsiTheme="minorHAnsi" w:cs="Arial"/>
          <w:lang w:val="en-GB"/>
        </w:rPr>
        <w:t xml:space="preserve">Disruptions in immunization services were widespread in 2020, with the WHO Southeast Asian and Eastern Mediterranean Regions most affected.  As access to health services and immunization outreach were curtailed, the number of children not receiving even their very first vaccinations increased in all regions. As compared with 2019, 3.5 million more children missed their first dose of diphtheria, </w:t>
      </w:r>
      <w:proofErr w:type="gramStart"/>
      <w:r w:rsidRPr="00206044">
        <w:rPr>
          <w:rFonts w:asciiTheme="minorHAnsi" w:eastAsia="Arial" w:hAnsiTheme="minorHAnsi" w:cs="Arial"/>
          <w:lang w:val="en-GB"/>
        </w:rPr>
        <w:t>tetanus</w:t>
      </w:r>
      <w:proofErr w:type="gramEnd"/>
      <w:r w:rsidRPr="00206044">
        <w:rPr>
          <w:rFonts w:asciiTheme="minorHAnsi" w:eastAsia="Arial" w:hAnsiTheme="minorHAnsi" w:cs="Arial"/>
          <w:lang w:val="en-GB"/>
        </w:rPr>
        <w:t xml:space="preserve"> and pertussis vaccine (DTP-1) while 3 million more children missed their first measles dose.  </w:t>
      </w:r>
    </w:p>
    <w:p w14:paraId="6A96BCB6" w14:textId="1025AD2D" w:rsidR="000D03D9" w:rsidRPr="00206044" w:rsidRDefault="000D03D9" w:rsidP="000D03D9">
      <w:pPr>
        <w:spacing w:line="257" w:lineRule="auto"/>
        <w:rPr>
          <w:rFonts w:asciiTheme="minorHAnsi" w:eastAsia="Arial" w:hAnsiTheme="minorHAnsi" w:cs="Arial"/>
          <w:lang w:val="en-GB"/>
        </w:rPr>
      </w:pPr>
      <w:r w:rsidRPr="00206044">
        <w:rPr>
          <w:rFonts w:asciiTheme="minorHAnsi" w:eastAsia="Arial" w:hAnsiTheme="minorHAnsi" w:cs="Arial"/>
          <w:lang w:val="en-GB"/>
        </w:rPr>
        <w:t xml:space="preserve">“This evidence should be a clear warning – the COVID-19 pandemic and related disruptions cost us valuable ground we cannot afford to lose – and the consequences will be paid in the lives and wellbeing of the most vulnerable,” said </w:t>
      </w:r>
      <w:r w:rsidRPr="00206044">
        <w:rPr>
          <w:rFonts w:asciiTheme="minorHAnsi" w:eastAsia="Arial" w:hAnsiTheme="minorHAnsi" w:cs="Arial"/>
          <w:b/>
          <w:bCs/>
          <w:lang w:val="en-GB"/>
        </w:rPr>
        <w:t>Henrietta Fore, UNICEF Executive Director</w:t>
      </w:r>
      <w:r w:rsidRPr="00206044">
        <w:rPr>
          <w:rFonts w:asciiTheme="minorHAnsi" w:eastAsia="Arial" w:hAnsiTheme="minorHAnsi" w:cs="Arial"/>
          <w:lang w:val="en-GB"/>
        </w:rPr>
        <w:t>. “Even before the pandemic, there were worrying signs that we were beginning to lose ground in the fight to immunize children against preventable child illness, including with the widespread measles outbreaks two years ago. The pandemic has made a bad situation worse.”</w:t>
      </w:r>
    </w:p>
    <w:p w14:paraId="43E854BE" w14:textId="317C31F4" w:rsidR="000D03D9" w:rsidRPr="00206044" w:rsidRDefault="000D03D9" w:rsidP="000D03D9">
      <w:pPr>
        <w:spacing w:line="257" w:lineRule="auto"/>
        <w:rPr>
          <w:rFonts w:asciiTheme="minorHAnsi" w:hAnsiTheme="minorHAnsi"/>
          <w:lang w:val="en-GB"/>
        </w:rPr>
      </w:pPr>
      <w:r w:rsidRPr="00206044">
        <w:rPr>
          <w:rFonts w:asciiTheme="minorHAnsi" w:eastAsia="Arial" w:hAnsiTheme="minorHAnsi" w:cs="Arial"/>
          <w:lang w:val="en-GB"/>
        </w:rPr>
        <w:t xml:space="preserve">Countries with the greatest increase in children not receiving a first dose of diphtheria-tetanus-pertussis combined vaccine (DTP-1) </w:t>
      </w:r>
      <w:r w:rsidR="00206044">
        <w:rPr>
          <w:rFonts w:asciiTheme="minorHAnsi" w:eastAsia="Arial" w:hAnsiTheme="minorHAnsi" w:cs="Arial"/>
          <w:lang w:val="en-GB"/>
        </w:rPr>
        <w:t xml:space="preserve">include India, Pakistan, Indonesia, Philippines, Mexico, Mozambique, Angola, United Republic of Tanzania, Argentina, Venezuela, and Mali. </w:t>
      </w:r>
      <w:r w:rsidRPr="00206044">
        <w:rPr>
          <w:rFonts w:asciiTheme="minorHAnsi" w:eastAsia="Arial" w:hAnsiTheme="minorHAnsi" w:cs="Arial"/>
          <w:lang w:val="en-GB"/>
        </w:rPr>
        <w:t xml:space="preserve">The data shows that middle-income countries now account for an increasing share of unprotected children – that is, children missing out on at least some vaccine doses. </w:t>
      </w:r>
    </w:p>
    <w:p w14:paraId="1FBC2319" w14:textId="77777777" w:rsidR="000D03D9" w:rsidRPr="00206044" w:rsidRDefault="000D03D9" w:rsidP="000D03D9">
      <w:pPr>
        <w:spacing w:line="257" w:lineRule="auto"/>
        <w:rPr>
          <w:rFonts w:asciiTheme="minorHAnsi" w:hAnsiTheme="minorHAnsi"/>
          <w:lang w:val="en-GB"/>
        </w:rPr>
      </w:pPr>
      <w:r w:rsidRPr="00206044">
        <w:rPr>
          <w:rFonts w:asciiTheme="minorHAnsi" w:eastAsia="Arial" w:hAnsiTheme="minorHAnsi" w:cs="Arial"/>
          <w:b/>
          <w:bCs/>
          <w:lang w:val="en-GB"/>
        </w:rPr>
        <w:t xml:space="preserve">Countries risk resurgence of measles, other vaccine-preventable diseases </w:t>
      </w:r>
    </w:p>
    <w:p w14:paraId="0F9B2836" w14:textId="77777777" w:rsidR="000D03D9" w:rsidRPr="00206044" w:rsidRDefault="000D03D9" w:rsidP="000D03D9">
      <w:pPr>
        <w:spacing w:line="257" w:lineRule="auto"/>
        <w:rPr>
          <w:rFonts w:asciiTheme="minorHAnsi" w:hAnsiTheme="minorHAnsi"/>
          <w:lang w:val="en-GB"/>
        </w:rPr>
      </w:pPr>
      <w:r w:rsidRPr="00206044">
        <w:rPr>
          <w:rFonts w:asciiTheme="minorHAnsi" w:eastAsia="Arial" w:hAnsiTheme="minorHAnsi" w:cs="Arial"/>
          <w:lang w:val="en-GB"/>
        </w:rPr>
        <w:t xml:space="preserve">Even prior to the COVID-19 pandemic, global childhood vaccination rates against diphtheria, tetanus, pertussis, </w:t>
      </w:r>
      <w:proofErr w:type="gramStart"/>
      <w:r w:rsidRPr="00206044">
        <w:rPr>
          <w:rFonts w:asciiTheme="minorHAnsi" w:eastAsia="Arial" w:hAnsiTheme="minorHAnsi" w:cs="Arial"/>
          <w:lang w:val="en-GB"/>
        </w:rPr>
        <w:t>measles</w:t>
      </w:r>
      <w:proofErr w:type="gramEnd"/>
      <w:r w:rsidRPr="00206044">
        <w:rPr>
          <w:rFonts w:asciiTheme="minorHAnsi" w:eastAsia="Arial" w:hAnsiTheme="minorHAnsi" w:cs="Arial"/>
          <w:lang w:val="en-GB"/>
        </w:rPr>
        <w:t xml:space="preserve"> and polio had stalled for several years at around 86%. This rate is well below the 95% recommended by WHO to protect against measles –often the first disease to resurge when children are not reached with vaccines - and insufficient to stop other vaccine-preventable diseases.</w:t>
      </w:r>
    </w:p>
    <w:p w14:paraId="4E6266F3" w14:textId="77777777" w:rsidR="000D03D9" w:rsidRPr="00206044" w:rsidRDefault="000D03D9" w:rsidP="000D03D9">
      <w:pPr>
        <w:spacing w:line="257" w:lineRule="auto"/>
        <w:rPr>
          <w:rFonts w:asciiTheme="minorHAnsi" w:eastAsia="Arial" w:hAnsiTheme="minorHAnsi" w:cs="Arial"/>
          <w:lang w:val="en-GB"/>
        </w:rPr>
      </w:pPr>
      <w:r w:rsidRPr="00206044">
        <w:rPr>
          <w:rFonts w:asciiTheme="minorHAnsi" w:eastAsia="Arial" w:hAnsiTheme="minorHAnsi" w:cs="Arial"/>
          <w:lang w:val="en-GB"/>
        </w:rPr>
        <w:t xml:space="preserve">With many resources and personnel diverted to support the COVID-19 response, there have been </w:t>
      </w:r>
      <w:r w:rsidRPr="00206044">
        <w:rPr>
          <w:rFonts w:asciiTheme="minorHAnsi" w:eastAsia="Arial" w:hAnsiTheme="minorHAnsi" w:cs="Arial"/>
          <w:lang w:val="en-GB"/>
        </w:rPr>
        <w:lastRenderedPageBreak/>
        <w:t>significant disruptions to immunization service provision in many parts of the world. In some countries, clinics have been closed or hours reduced, while people may have been reluctant to seek healthcare because of fear of transmission or have experienced challenges reaching services due to lockdown measures and transportation disruptions.</w:t>
      </w:r>
    </w:p>
    <w:p w14:paraId="35CAA0CE" w14:textId="77777777" w:rsidR="000D03D9" w:rsidRPr="00206044" w:rsidRDefault="000D03D9" w:rsidP="000D03D9">
      <w:pPr>
        <w:spacing w:line="257" w:lineRule="auto"/>
        <w:rPr>
          <w:rFonts w:asciiTheme="minorHAnsi" w:hAnsiTheme="minorHAnsi"/>
          <w:lang w:val="en-GB"/>
        </w:rPr>
      </w:pPr>
      <w:r w:rsidRPr="00206044">
        <w:rPr>
          <w:rFonts w:asciiTheme="minorHAnsi" w:eastAsia="Arial" w:hAnsiTheme="minorHAnsi" w:cs="Arial"/>
          <w:b/>
          <w:bCs/>
          <w:lang w:val="en-GB"/>
        </w:rPr>
        <w:t>Agencies call for urgent recovery and investment in routine immunization</w:t>
      </w:r>
    </w:p>
    <w:p w14:paraId="3987BE13" w14:textId="77777777" w:rsidR="000D03D9" w:rsidRPr="00206044" w:rsidRDefault="000D03D9" w:rsidP="000D03D9">
      <w:pPr>
        <w:spacing w:line="257" w:lineRule="auto"/>
        <w:rPr>
          <w:rFonts w:asciiTheme="minorHAnsi" w:eastAsia="Arial" w:hAnsiTheme="minorHAnsi" w:cs="Arial"/>
          <w:lang w:val="en-GB"/>
        </w:rPr>
      </w:pPr>
      <w:r w:rsidRPr="00206044">
        <w:rPr>
          <w:rFonts w:asciiTheme="minorHAnsi" w:eastAsia="Arial" w:hAnsiTheme="minorHAnsi" w:cs="Arial"/>
          <w:lang w:val="en-GB"/>
        </w:rPr>
        <w:t>As countries work to recover lost ground due to COVID-19 related disruptions, UNICEF, WHO and partners like Gavi, the Vaccine Alliance are supporting efforts to strengthen immunization systems by:</w:t>
      </w:r>
    </w:p>
    <w:p w14:paraId="2793C46F" w14:textId="77777777" w:rsidR="000D03D9" w:rsidRPr="00206044" w:rsidRDefault="000D03D9" w:rsidP="000D03D9">
      <w:pPr>
        <w:pStyle w:val="ListParagraph"/>
        <w:numPr>
          <w:ilvl w:val="0"/>
          <w:numId w:val="11"/>
        </w:numPr>
        <w:suppressAutoHyphens w:val="0"/>
        <w:autoSpaceDN/>
        <w:spacing w:line="259" w:lineRule="auto"/>
        <w:contextualSpacing/>
        <w:textAlignment w:val="auto"/>
        <w:rPr>
          <w:rFonts w:asciiTheme="minorHAnsi" w:hAnsiTheme="minorHAnsi"/>
        </w:rPr>
      </w:pPr>
      <w:r w:rsidRPr="00206044">
        <w:rPr>
          <w:rFonts w:asciiTheme="minorHAnsi" w:eastAsia="Arial" w:hAnsiTheme="minorHAnsi" w:cs="Arial"/>
        </w:rPr>
        <w:t xml:space="preserve">Restoring services and vaccination campaigns so countries can safely deliver routine immunization programmes during the COVID-19 </w:t>
      </w:r>
      <w:proofErr w:type="gramStart"/>
      <w:r w:rsidRPr="00206044">
        <w:rPr>
          <w:rFonts w:asciiTheme="minorHAnsi" w:eastAsia="Arial" w:hAnsiTheme="minorHAnsi" w:cs="Arial"/>
        </w:rPr>
        <w:t>pandemic;</w:t>
      </w:r>
      <w:proofErr w:type="gramEnd"/>
    </w:p>
    <w:p w14:paraId="6AE38E85" w14:textId="77777777" w:rsidR="000D03D9" w:rsidRPr="00206044" w:rsidRDefault="000D03D9" w:rsidP="000D03D9">
      <w:pPr>
        <w:pStyle w:val="ListParagraph"/>
        <w:numPr>
          <w:ilvl w:val="0"/>
          <w:numId w:val="11"/>
        </w:numPr>
        <w:suppressAutoHyphens w:val="0"/>
        <w:autoSpaceDN/>
        <w:spacing w:line="259" w:lineRule="auto"/>
        <w:contextualSpacing/>
        <w:textAlignment w:val="auto"/>
        <w:rPr>
          <w:rFonts w:asciiTheme="minorHAnsi" w:hAnsiTheme="minorHAnsi"/>
        </w:rPr>
      </w:pPr>
      <w:r w:rsidRPr="00206044">
        <w:rPr>
          <w:rFonts w:asciiTheme="minorHAnsi" w:eastAsia="Arial" w:hAnsiTheme="minorHAnsi" w:cs="Arial"/>
        </w:rPr>
        <w:t xml:space="preserve">Helping health workers and community leaders communicate actively with caregivers to explain the importance of </w:t>
      </w:r>
      <w:proofErr w:type="gramStart"/>
      <w:r w:rsidRPr="00206044">
        <w:rPr>
          <w:rFonts w:asciiTheme="minorHAnsi" w:eastAsia="Arial" w:hAnsiTheme="minorHAnsi" w:cs="Arial"/>
        </w:rPr>
        <w:t>vaccinations;</w:t>
      </w:r>
      <w:proofErr w:type="gramEnd"/>
    </w:p>
    <w:p w14:paraId="36DF66FF" w14:textId="77777777" w:rsidR="000D03D9" w:rsidRPr="00206044" w:rsidRDefault="000D03D9" w:rsidP="000D03D9">
      <w:pPr>
        <w:pStyle w:val="ListParagraph"/>
        <w:numPr>
          <w:ilvl w:val="0"/>
          <w:numId w:val="11"/>
        </w:numPr>
        <w:suppressAutoHyphens w:val="0"/>
        <w:autoSpaceDN/>
        <w:spacing w:line="259" w:lineRule="auto"/>
        <w:contextualSpacing/>
        <w:textAlignment w:val="auto"/>
        <w:rPr>
          <w:rFonts w:asciiTheme="minorHAnsi" w:hAnsiTheme="minorHAnsi"/>
        </w:rPr>
      </w:pPr>
      <w:r w:rsidRPr="00206044">
        <w:rPr>
          <w:rFonts w:asciiTheme="minorHAnsi" w:eastAsia="Arial" w:hAnsiTheme="minorHAnsi" w:cs="Arial"/>
        </w:rPr>
        <w:t>Rectifying gaps in immunization coverage, including identifying communities and people who have been missed during the pandemic.</w:t>
      </w:r>
    </w:p>
    <w:p w14:paraId="337F2705" w14:textId="77777777" w:rsidR="000D03D9" w:rsidRPr="00206044" w:rsidRDefault="000D03D9" w:rsidP="000D03D9">
      <w:pPr>
        <w:pStyle w:val="ListParagraph"/>
        <w:numPr>
          <w:ilvl w:val="0"/>
          <w:numId w:val="11"/>
        </w:numPr>
        <w:suppressAutoHyphens w:val="0"/>
        <w:autoSpaceDN/>
        <w:spacing w:line="259" w:lineRule="auto"/>
        <w:contextualSpacing/>
        <w:textAlignment w:val="auto"/>
        <w:rPr>
          <w:rFonts w:asciiTheme="minorHAnsi" w:hAnsiTheme="minorHAnsi"/>
        </w:rPr>
      </w:pPr>
      <w:r w:rsidRPr="00206044">
        <w:rPr>
          <w:rFonts w:asciiTheme="minorHAnsi" w:eastAsia="Arial" w:hAnsiTheme="minorHAnsi" w:cs="Arial"/>
        </w:rPr>
        <w:t>Ensuring that COVID-19 vaccine delivery is independently planned for and financed and that it occurs alongside, and not at the cost of childhood vaccination services.</w:t>
      </w:r>
    </w:p>
    <w:p w14:paraId="3008B140" w14:textId="6E3D559D" w:rsidR="000D03D9" w:rsidRPr="00206044" w:rsidRDefault="000D03D9" w:rsidP="000D03D9">
      <w:pPr>
        <w:pStyle w:val="ListParagraph"/>
        <w:numPr>
          <w:ilvl w:val="0"/>
          <w:numId w:val="11"/>
        </w:numPr>
        <w:suppressAutoHyphens w:val="0"/>
        <w:autoSpaceDN/>
        <w:spacing w:line="259" w:lineRule="auto"/>
        <w:contextualSpacing/>
        <w:textAlignment w:val="auto"/>
        <w:rPr>
          <w:rFonts w:asciiTheme="minorHAnsi" w:hAnsiTheme="minorHAnsi"/>
        </w:rPr>
      </w:pPr>
      <w:r w:rsidRPr="00206044">
        <w:rPr>
          <w:rFonts w:asciiTheme="minorHAnsi" w:eastAsia="Arial" w:hAnsiTheme="minorHAnsi" w:cs="Arial"/>
        </w:rPr>
        <w:t xml:space="preserve">Implementing country plans to prevent and respond to outbreaks of vaccine-preventable diseases, and strengthen immunization systems as part of COVID-19 recovery efforts </w:t>
      </w:r>
    </w:p>
    <w:p w14:paraId="5884B433" w14:textId="77777777" w:rsidR="000D03D9" w:rsidRPr="00206044" w:rsidRDefault="000D03D9" w:rsidP="000D03D9">
      <w:pPr>
        <w:spacing w:line="257" w:lineRule="auto"/>
        <w:rPr>
          <w:rFonts w:asciiTheme="minorHAnsi" w:hAnsiTheme="minorHAnsi"/>
          <w:lang w:val="en-GB"/>
        </w:rPr>
      </w:pPr>
      <w:r w:rsidRPr="00206044">
        <w:rPr>
          <w:rFonts w:asciiTheme="minorHAnsi" w:eastAsia="Arial" w:hAnsiTheme="minorHAnsi" w:cs="Arial"/>
          <w:lang w:val="en-GB"/>
        </w:rPr>
        <w:t>The agencies are working with countries and partners to deliver the ambitious targets of the global Immunization Agenda 2030, which aims to achieve 90% coverage for essential childhood vaccines; halve the number of entirely unvaccinated, or ‘zero dose’ children, and increase the uptake of newer lifesaving vaccines such as rotavirus or pneumococcus in low and middle-income countries.</w:t>
      </w:r>
    </w:p>
    <w:p w14:paraId="7601DB18" w14:textId="77777777" w:rsidR="000D03D9" w:rsidRPr="00206044" w:rsidRDefault="000D03D9" w:rsidP="000D03D9">
      <w:pPr>
        <w:spacing w:line="257" w:lineRule="auto"/>
        <w:rPr>
          <w:rFonts w:asciiTheme="minorHAnsi" w:hAnsiTheme="minorHAnsi"/>
          <w:lang w:val="en-GB"/>
        </w:rPr>
      </w:pPr>
      <w:r w:rsidRPr="00206044">
        <w:rPr>
          <w:rFonts w:asciiTheme="minorHAnsi" w:eastAsia="Arial" w:hAnsiTheme="minorHAnsi" w:cs="Arial"/>
          <w:b/>
          <w:bCs/>
          <w:lang w:val="en-GB"/>
        </w:rPr>
        <w:t>###</w:t>
      </w:r>
    </w:p>
    <w:p w14:paraId="58A293A3" w14:textId="77777777" w:rsidR="000D03D9" w:rsidRPr="00206044" w:rsidRDefault="000D03D9" w:rsidP="000D03D9">
      <w:pPr>
        <w:spacing w:line="257" w:lineRule="auto"/>
        <w:rPr>
          <w:rFonts w:asciiTheme="minorHAnsi" w:hAnsiTheme="minorHAnsi"/>
          <w:lang w:val="en-GB"/>
        </w:rPr>
      </w:pPr>
      <w:r w:rsidRPr="00206044">
        <w:rPr>
          <w:rFonts w:asciiTheme="minorHAnsi" w:eastAsia="Arial" w:hAnsiTheme="minorHAnsi" w:cs="Arial"/>
          <w:b/>
          <w:bCs/>
          <w:lang w:val="en-GB"/>
        </w:rPr>
        <w:t>About the data</w:t>
      </w:r>
    </w:p>
    <w:p w14:paraId="74D1C33B" w14:textId="77777777" w:rsidR="00317822" w:rsidRDefault="000D03D9" w:rsidP="000D03D9">
      <w:pPr>
        <w:spacing w:line="257" w:lineRule="auto"/>
        <w:rPr>
          <w:rFonts w:asciiTheme="minorHAnsi" w:eastAsia="Arial" w:hAnsiTheme="minorHAnsi" w:cs="Arial"/>
          <w:lang w:val="en-GB"/>
        </w:rPr>
      </w:pPr>
      <w:r w:rsidRPr="00206044">
        <w:rPr>
          <w:rFonts w:asciiTheme="minorHAnsi" w:eastAsia="Arial" w:hAnsiTheme="minorHAnsi" w:cs="Arial"/>
          <w:lang w:val="en-GB"/>
        </w:rPr>
        <w:t xml:space="preserve">Globally, the vaccination rate for three doses of diphtheria-tetanus and pertussis (DTP-3) vaccine fell from around 86% in 2019 to 83% in 2020, meaning 22.7 million children missed out, and for measles first dose, from 86 to 84%, meaning 22.3 million children missed out. </w:t>
      </w:r>
    </w:p>
    <w:p w14:paraId="4DC8844E" w14:textId="0B527150" w:rsidR="000D03D9" w:rsidRPr="00206044" w:rsidRDefault="000D03D9" w:rsidP="000D03D9">
      <w:pPr>
        <w:spacing w:line="257" w:lineRule="auto"/>
        <w:rPr>
          <w:rFonts w:asciiTheme="minorHAnsi" w:eastAsia="Arial" w:hAnsiTheme="minorHAnsi" w:cs="Arial"/>
          <w:lang w:val="en-GB"/>
        </w:rPr>
      </w:pPr>
      <w:r w:rsidRPr="00206044">
        <w:rPr>
          <w:rFonts w:asciiTheme="minorHAnsi" w:eastAsia="Arial" w:hAnsiTheme="minorHAnsi" w:cs="Arial"/>
          <w:lang w:val="en-GB"/>
        </w:rPr>
        <w:t xml:space="preserve">Vaccination rates for measles second dose were at 71% (from 70% in 2019).  To control measles, 95% uptake of two vaccine doses is required; countries that cannot reach that level rely on periodic nationwide vaccination campaigns to fill the gap.  </w:t>
      </w:r>
    </w:p>
    <w:sectPr w:rsidR="000D03D9" w:rsidRPr="00206044" w:rsidSect="00206044">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571C5" w14:textId="77777777" w:rsidR="000F4862" w:rsidRDefault="000F4862">
      <w:pPr>
        <w:spacing w:after="0" w:line="240" w:lineRule="auto"/>
      </w:pPr>
      <w:r>
        <w:separator/>
      </w:r>
    </w:p>
  </w:endnote>
  <w:endnote w:type="continuationSeparator" w:id="0">
    <w:p w14:paraId="1F89F030" w14:textId="77777777" w:rsidR="000F4862" w:rsidRDefault="000F4862">
      <w:pPr>
        <w:spacing w:after="0" w:line="240" w:lineRule="auto"/>
      </w:pPr>
      <w:r>
        <w:continuationSeparator/>
      </w:r>
    </w:p>
  </w:endnote>
  <w:endnote w:type="continuationNotice" w:id="1">
    <w:p w14:paraId="0EA547D9" w14:textId="77777777" w:rsidR="000F4862" w:rsidRDefault="000F48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F1">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D62B0" w14:textId="77777777" w:rsidR="000F4862" w:rsidRDefault="000F4862">
      <w:pPr>
        <w:spacing w:after="0" w:line="240" w:lineRule="auto"/>
      </w:pPr>
      <w:r>
        <w:rPr>
          <w:color w:val="000000"/>
        </w:rPr>
        <w:separator/>
      </w:r>
    </w:p>
  </w:footnote>
  <w:footnote w:type="continuationSeparator" w:id="0">
    <w:p w14:paraId="10EF926A" w14:textId="77777777" w:rsidR="000F4862" w:rsidRDefault="000F4862">
      <w:pPr>
        <w:spacing w:after="0" w:line="240" w:lineRule="auto"/>
      </w:pPr>
      <w:r>
        <w:continuationSeparator/>
      </w:r>
    </w:p>
  </w:footnote>
  <w:footnote w:type="continuationNotice" w:id="1">
    <w:p w14:paraId="4A2948A5" w14:textId="77777777" w:rsidR="000F4862" w:rsidRDefault="000F48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0639"/>
    <w:multiLevelType w:val="multilevel"/>
    <w:tmpl w:val="C5641AF6"/>
    <w:styleLink w:val="WWNum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19DA78F0"/>
    <w:multiLevelType w:val="multilevel"/>
    <w:tmpl w:val="CF4A0AD0"/>
    <w:styleLink w:val="WWNum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D64311C"/>
    <w:multiLevelType w:val="multilevel"/>
    <w:tmpl w:val="61904D38"/>
    <w:styleLink w:val="WWNum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235A6FF8"/>
    <w:multiLevelType w:val="multilevel"/>
    <w:tmpl w:val="957C5EEE"/>
    <w:styleLink w:val="WWNum5"/>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54C09CD"/>
    <w:multiLevelType w:val="multilevel"/>
    <w:tmpl w:val="6AC8E6B6"/>
    <w:styleLink w:val="WWNum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 w15:restartNumberingAfterBreak="0">
    <w:nsid w:val="32703A05"/>
    <w:multiLevelType w:val="multilevel"/>
    <w:tmpl w:val="1F988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1D3E7D"/>
    <w:multiLevelType w:val="multilevel"/>
    <w:tmpl w:val="EEA0F11C"/>
    <w:styleLink w:val="WWNum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A0A6F0A"/>
    <w:multiLevelType w:val="multilevel"/>
    <w:tmpl w:val="20BAC300"/>
    <w:styleLink w:val="WWNum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8" w15:restartNumberingAfterBreak="0">
    <w:nsid w:val="68332CEB"/>
    <w:multiLevelType w:val="multilevel"/>
    <w:tmpl w:val="DD76AA3E"/>
    <w:styleLink w:val="WWNum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74692246"/>
    <w:multiLevelType w:val="hybridMultilevel"/>
    <w:tmpl w:val="FFFFFFFF"/>
    <w:lvl w:ilvl="0" w:tplc="2966A4BA">
      <w:start w:val="1"/>
      <w:numFmt w:val="bullet"/>
      <w:lvlText w:val="·"/>
      <w:lvlJc w:val="left"/>
      <w:pPr>
        <w:ind w:left="720" w:hanging="360"/>
      </w:pPr>
      <w:rPr>
        <w:rFonts w:ascii="Symbol" w:hAnsi="Symbol" w:hint="default"/>
      </w:rPr>
    </w:lvl>
    <w:lvl w:ilvl="1" w:tplc="F1E0DBAA">
      <w:start w:val="1"/>
      <w:numFmt w:val="bullet"/>
      <w:lvlText w:val="o"/>
      <w:lvlJc w:val="left"/>
      <w:pPr>
        <w:ind w:left="1440" w:hanging="360"/>
      </w:pPr>
      <w:rPr>
        <w:rFonts w:ascii="Courier New" w:hAnsi="Courier New" w:hint="default"/>
      </w:rPr>
    </w:lvl>
    <w:lvl w:ilvl="2" w:tplc="98D80D10">
      <w:start w:val="1"/>
      <w:numFmt w:val="bullet"/>
      <w:lvlText w:val=""/>
      <w:lvlJc w:val="left"/>
      <w:pPr>
        <w:ind w:left="2160" w:hanging="360"/>
      </w:pPr>
      <w:rPr>
        <w:rFonts w:ascii="Wingdings" w:hAnsi="Wingdings" w:hint="default"/>
      </w:rPr>
    </w:lvl>
    <w:lvl w:ilvl="3" w:tplc="604A67B6">
      <w:start w:val="1"/>
      <w:numFmt w:val="bullet"/>
      <w:lvlText w:val=""/>
      <w:lvlJc w:val="left"/>
      <w:pPr>
        <w:ind w:left="2880" w:hanging="360"/>
      </w:pPr>
      <w:rPr>
        <w:rFonts w:ascii="Symbol" w:hAnsi="Symbol" w:hint="default"/>
      </w:rPr>
    </w:lvl>
    <w:lvl w:ilvl="4" w:tplc="50206D7C">
      <w:start w:val="1"/>
      <w:numFmt w:val="bullet"/>
      <w:lvlText w:val="o"/>
      <w:lvlJc w:val="left"/>
      <w:pPr>
        <w:ind w:left="3600" w:hanging="360"/>
      </w:pPr>
      <w:rPr>
        <w:rFonts w:ascii="Courier New" w:hAnsi="Courier New" w:hint="default"/>
      </w:rPr>
    </w:lvl>
    <w:lvl w:ilvl="5" w:tplc="9E56F18E">
      <w:start w:val="1"/>
      <w:numFmt w:val="bullet"/>
      <w:lvlText w:val=""/>
      <w:lvlJc w:val="left"/>
      <w:pPr>
        <w:ind w:left="4320" w:hanging="360"/>
      </w:pPr>
      <w:rPr>
        <w:rFonts w:ascii="Wingdings" w:hAnsi="Wingdings" w:hint="default"/>
      </w:rPr>
    </w:lvl>
    <w:lvl w:ilvl="6" w:tplc="7A58E062">
      <w:start w:val="1"/>
      <w:numFmt w:val="bullet"/>
      <w:lvlText w:val=""/>
      <w:lvlJc w:val="left"/>
      <w:pPr>
        <w:ind w:left="5040" w:hanging="360"/>
      </w:pPr>
      <w:rPr>
        <w:rFonts w:ascii="Symbol" w:hAnsi="Symbol" w:hint="default"/>
      </w:rPr>
    </w:lvl>
    <w:lvl w:ilvl="7" w:tplc="9E604A54">
      <w:start w:val="1"/>
      <w:numFmt w:val="bullet"/>
      <w:lvlText w:val="o"/>
      <w:lvlJc w:val="left"/>
      <w:pPr>
        <w:ind w:left="5760" w:hanging="360"/>
      </w:pPr>
      <w:rPr>
        <w:rFonts w:ascii="Courier New" w:hAnsi="Courier New" w:hint="default"/>
      </w:rPr>
    </w:lvl>
    <w:lvl w:ilvl="8" w:tplc="FB0EFE2E">
      <w:start w:val="1"/>
      <w:numFmt w:val="bullet"/>
      <w:lvlText w:val=""/>
      <w:lvlJc w:val="left"/>
      <w:pPr>
        <w:ind w:left="6480" w:hanging="360"/>
      </w:pPr>
      <w:rPr>
        <w:rFonts w:ascii="Wingdings" w:hAnsi="Wingdings" w:hint="default"/>
      </w:rPr>
    </w:lvl>
  </w:abstractNum>
  <w:abstractNum w:abstractNumId="10" w15:restartNumberingAfterBreak="0">
    <w:nsid w:val="76A26761"/>
    <w:multiLevelType w:val="multilevel"/>
    <w:tmpl w:val="69184C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7"/>
  </w:num>
  <w:num w:numId="3">
    <w:abstractNumId w:val="4"/>
  </w:num>
  <w:num w:numId="4">
    <w:abstractNumId w:val="6"/>
  </w:num>
  <w:num w:numId="5">
    <w:abstractNumId w:val="3"/>
  </w:num>
  <w:num w:numId="6">
    <w:abstractNumId w:val="1"/>
  </w:num>
  <w:num w:numId="7">
    <w:abstractNumId w:val="2"/>
  </w:num>
  <w:num w:numId="8">
    <w:abstractNumId w:val="8"/>
  </w:num>
  <w:num w:numId="9">
    <w:abstractNumId w:val="8"/>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MTKwMDE0MDQ3NDNU0lEKTi0uzszPAymwqAUAdEG5KSwAAAA="/>
  </w:docVars>
  <w:rsids>
    <w:rsidRoot w:val="0088291C"/>
    <w:rsid w:val="000552E8"/>
    <w:rsid w:val="00083B4A"/>
    <w:rsid w:val="000C7030"/>
    <w:rsid w:val="000D03D9"/>
    <w:rsid w:val="000D2953"/>
    <w:rsid w:val="000E38B5"/>
    <w:rsid w:val="000E41D6"/>
    <w:rsid w:val="000F4862"/>
    <w:rsid w:val="00106C5A"/>
    <w:rsid w:val="001520AA"/>
    <w:rsid w:val="00162EB5"/>
    <w:rsid w:val="00165E53"/>
    <w:rsid w:val="00175B8E"/>
    <w:rsid w:val="0019251D"/>
    <w:rsid w:val="001B4DCD"/>
    <w:rsid w:val="001C73E0"/>
    <w:rsid w:val="001D2EEA"/>
    <w:rsid w:val="001D7BE4"/>
    <w:rsid w:val="001E3D83"/>
    <w:rsid w:val="001F02FE"/>
    <w:rsid w:val="00206044"/>
    <w:rsid w:val="00211465"/>
    <w:rsid w:val="0024788C"/>
    <w:rsid w:val="00256679"/>
    <w:rsid w:val="00260A10"/>
    <w:rsid w:val="002669CF"/>
    <w:rsid w:val="002724DA"/>
    <w:rsid w:val="002A0688"/>
    <w:rsid w:val="002C564A"/>
    <w:rsid w:val="002F525E"/>
    <w:rsid w:val="00307641"/>
    <w:rsid w:val="00316E60"/>
    <w:rsid w:val="00317822"/>
    <w:rsid w:val="003322F1"/>
    <w:rsid w:val="00347515"/>
    <w:rsid w:val="00371FE4"/>
    <w:rsid w:val="00385B2D"/>
    <w:rsid w:val="003D40E2"/>
    <w:rsid w:val="003F25CF"/>
    <w:rsid w:val="003F63C4"/>
    <w:rsid w:val="00412386"/>
    <w:rsid w:val="00423C7F"/>
    <w:rsid w:val="00440EB1"/>
    <w:rsid w:val="004527E5"/>
    <w:rsid w:val="00452858"/>
    <w:rsid w:val="00464E38"/>
    <w:rsid w:val="004C2531"/>
    <w:rsid w:val="004C3EF3"/>
    <w:rsid w:val="004E0E9F"/>
    <w:rsid w:val="004E243A"/>
    <w:rsid w:val="004E27B4"/>
    <w:rsid w:val="00524FC3"/>
    <w:rsid w:val="0052519B"/>
    <w:rsid w:val="00532C78"/>
    <w:rsid w:val="00545686"/>
    <w:rsid w:val="00551E47"/>
    <w:rsid w:val="005607E6"/>
    <w:rsid w:val="00571381"/>
    <w:rsid w:val="00581D6D"/>
    <w:rsid w:val="00597DAA"/>
    <w:rsid w:val="005B1517"/>
    <w:rsid w:val="005D6E4B"/>
    <w:rsid w:val="005E7163"/>
    <w:rsid w:val="005F7928"/>
    <w:rsid w:val="006149C9"/>
    <w:rsid w:val="006154BD"/>
    <w:rsid w:val="0066180C"/>
    <w:rsid w:val="00696983"/>
    <w:rsid w:val="006B03F8"/>
    <w:rsid w:val="006B5F18"/>
    <w:rsid w:val="006D645B"/>
    <w:rsid w:val="007074FA"/>
    <w:rsid w:val="00707C5E"/>
    <w:rsid w:val="00736457"/>
    <w:rsid w:val="00740F18"/>
    <w:rsid w:val="00763456"/>
    <w:rsid w:val="007B3216"/>
    <w:rsid w:val="007B769E"/>
    <w:rsid w:val="007C6F10"/>
    <w:rsid w:val="007D71CC"/>
    <w:rsid w:val="007E2B5A"/>
    <w:rsid w:val="00840D55"/>
    <w:rsid w:val="00841383"/>
    <w:rsid w:val="008465CB"/>
    <w:rsid w:val="0088291C"/>
    <w:rsid w:val="008B2D11"/>
    <w:rsid w:val="008C3030"/>
    <w:rsid w:val="008E07E7"/>
    <w:rsid w:val="008E5B20"/>
    <w:rsid w:val="008F51BA"/>
    <w:rsid w:val="0091038F"/>
    <w:rsid w:val="00920CB7"/>
    <w:rsid w:val="0096515D"/>
    <w:rsid w:val="00980DE0"/>
    <w:rsid w:val="0098540B"/>
    <w:rsid w:val="009B122F"/>
    <w:rsid w:val="009C03AD"/>
    <w:rsid w:val="009E76B4"/>
    <w:rsid w:val="00A077E1"/>
    <w:rsid w:val="00A1148C"/>
    <w:rsid w:val="00A21C0A"/>
    <w:rsid w:val="00A4671E"/>
    <w:rsid w:val="00A771CC"/>
    <w:rsid w:val="00A83AC6"/>
    <w:rsid w:val="00A90E3C"/>
    <w:rsid w:val="00AA56E9"/>
    <w:rsid w:val="00AAFEBF"/>
    <w:rsid w:val="00AC56D4"/>
    <w:rsid w:val="00B03DA8"/>
    <w:rsid w:val="00B06A37"/>
    <w:rsid w:val="00B34A01"/>
    <w:rsid w:val="00B73EAE"/>
    <w:rsid w:val="00B81386"/>
    <w:rsid w:val="00B9438B"/>
    <w:rsid w:val="00BA7473"/>
    <w:rsid w:val="00BE61D4"/>
    <w:rsid w:val="00C0496B"/>
    <w:rsid w:val="00C11EB2"/>
    <w:rsid w:val="00C24618"/>
    <w:rsid w:val="00C46734"/>
    <w:rsid w:val="00C56DF5"/>
    <w:rsid w:val="00C57F10"/>
    <w:rsid w:val="00C80655"/>
    <w:rsid w:val="00CA4692"/>
    <w:rsid w:val="00CB3E71"/>
    <w:rsid w:val="00CD55CB"/>
    <w:rsid w:val="00CE0B53"/>
    <w:rsid w:val="00CE2C13"/>
    <w:rsid w:val="00D06FAA"/>
    <w:rsid w:val="00D20AF0"/>
    <w:rsid w:val="00D32BB1"/>
    <w:rsid w:val="00D32E0C"/>
    <w:rsid w:val="00D62584"/>
    <w:rsid w:val="00D8388A"/>
    <w:rsid w:val="00D84130"/>
    <w:rsid w:val="00DA4CBE"/>
    <w:rsid w:val="00DA727B"/>
    <w:rsid w:val="00DB4B28"/>
    <w:rsid w:val="00DC5A97"/>
    <w:rsid w:val="00DF69D6"/>
    <w:rsid w:val="00E15445"/>
    <w:rsid w:val="00E25947"/>
    <w:rsid w:val="00E312F4"/>
    <w:rsid w:val="00E468AC"/>
    <w:rsid w:val="00E627E0"/>
    <w:rsid w:val="00E915DA"/>
    <w:rsid w:val="00E94F61"/>
    <w:rsid w:val="00EB507E"/>
    <w:rsid w:val="00ED2298"/>
    <w:rsid w:val="00ED27A2"/>
    <w:rsid w:val="00ED4902"/>
    <w:rsid w:val="00F218FF"/>
    <w:rsid w:val="00F51253"/>
    <w:rsid w:val="00F70D22"/>
    <w:rsid w:val="00F9097C"/>
    <w:rsid w:val="00F9136F"/>
    <w:rsid w:val="00F9548E"/>
    <w:rsid w:val="00FB29B6"/>
    <w:rsid w:val="00FE09D1"/>
    <w:rsid w:val="00FE440D"/>
    <w:rsid w:val="02486BF9"/>
    <w:rsid w:val="026675D0"/>
    <w:rsid w:val="02DAA7B4"/>
    <w:rsid w:val="031BC301"/>
    <w:rsid w:val="046739CC"/>
    <w:rsid w:val="04CE6877"/>
    <w:rsid w:val="0663AD13"/>
    <w:rsid w:val="0793E1F7"/>
    <w:rsid w:val="0924F8AE"/>
    <w:rsid w:val="0A667E4E"/>
    <w:rsid w:val="0CE97E8A"/>
    <w:rsid w:val="0E1B9843"/>
    <w:rsid w:val="0F6565BE"/>
    <w:rsid w:val="0FD0CFC5"/>
    <w:rsid w:val="114A8F6E"/>
    <w:rsid w:val="15097D68"/>
    <w:rsid w:val="19A27AD6"/>
    <w:rsid w:val="1A0071A6"/>
    <w:rsid w:val="1A4A0A9E"/>
    <w:rsid w:val="1C9F27B2"/>
    <w:rsid w:val="1D1E1322"/>
    <w:rsid w:val="1DC53004"/>
    <w:rsid w:val="1DC5F952"/>
    <w:rsid w:val="1EAAA319"/>
    <w:rsid w:val="208B5263"/>
    <w:rsid w:val="22F735B8"/>
    <w:rsid w:val="24B1562F"/>
    <w:rsid w:val="24C73D78"/>
    <w:rsid w:val="254C270C"/>
    <w:rsid w:val="284E6D87"/>
    <w:rsid w:val="288E6DA1"/>
    <w:rsid w:val="28936476"/>
    <w:rsid w:val="29970C12"/>
    <w:rsid w:val="2A0AF8C1"/>
    <w:rsid w:val="2C4D8E5A"/>
    <w:rsid w:val="2C6B955A"/>
    <w:rsid w:val="2E4F753B"/>
    <w:rsid w:val="310124B3"/>
    <w:rsid w:val="316AD60A"/>
    <w:rsid w:val="3327D10C"/>
    <w:rsid w:val="3389F6FF"/>
    <w:rsid w:val="34EEFA06"/>
    <w:rsid w:val="35E8D41D"/>
    <w:rsid w:val="36051223"/>
    <w:rsid w:val="371D4D9A"/>
    <w:rsid w:val="378C728E"/>
    <w:rsid w:val="3980C8D7"/>
    <w:rsid w:val="39FE5D61"/>
    <w:rsid w:val="3A5AA3DD"/>
    <w:rsid w:val="3A8B2F09"/>
    <w:rsid w:val="3BA43FEA"/>
    <w:rsid w:val="3BF8B965"/>
    <w:rsid w:val="3D4CB519"/>
    <w:rsid w:val="3DE11794"/>
    <w:rsid w:val="3E25FCFE"/>
    <w:rsid w:val="3E818101"/>
    <w:rsid w:val="3F99FF9C"/>
    <w:rsid w:val="400145F4"/>
    <w:rsid w:val="406E4D08"/>
    <w:rsid w:val="4173935C"/>
    <w:rsid w:val="428EF6FC"/>
    <w:rsid w:val="4293A9DC"/>
    <w:rsid w:val="43B404AB"/>
    <w:rsid w:val="4465A5B7"/>
    <w:rsid w:val="44A18AF0"/>
    <w:rsid w:val="4D46BFA6"/>
    <w:rsid w:val="4D954CC4"/>
    <w:rsid w:val="4DFD7835"/>
    <w:rsid w:val="4E92146D"/>
    <w:rsid w:val="4F3DE4E3"/>
    <w:rsid w:val="51ADFDD4"/>
    <w:rsid w:val="51D075AD"/>
    <w:rsid w:val="5204BAE5"/>
    <w:rsid w:val="5387D4B8"/>
    <w:rsid w:val="54B66A5D"/>
    <w:rsid w:val="54D327D9"/>
    <w:rsid w:val="561A7B36"/>
    <w:rsid w:val="58D34AB6"/>
    <w:rsid w:val="593B819C"/>
    <w:rsid w:val="5BB5E8A2"/>
    <w:rsid w:val="5D8504E1"/>
    <w:rsid w:val="5EF1E934"/>
    <w:rsid w:val="5EF655F1"/>
    <w:rsid w:val="5F31E8DB"/>
    <w:rsid w:val="6005BDE7"/>
    <w:rsid w:val="612ED77D"/>
    <w:rsid w:val="6173CE6C"/>
    <w:rsid w:val="61D39708"/>
    <w:rsid w:val="63C8356A"/>
    <w:rsid w:val="64A2ADC2"/>
    <w:rsid w:val="64C5A963"/>
    <w:rsid w:val="663E7E23"/>
    <w:rsid w:val="66E47736"/>
    <w:rsid w:val="67C61E55"/>
    <w:rsid w:val="67C9D569"/>
    <w:rsid w:val="6B62F95A"/>
    <w:rsid w:val="6C00873A"/>
    <w:rsid w:val="6E09658B"/>
    <w:rsid w:val="6E5D7BE1"/>
    <w:rsid w:val="6E91EE9F"/>
    <w:rsid w:val="6F056211"/>
    <w:rsid w:val="7003BA0C"/>
    <w:rsid w:val="714F8E3C"/>
    <w:rsid w:val="71DA6185"/>
    <w:rsid w:val="71E1DFBD"/>
    <w:rsid w:val="7242CD1F"/>
    <w:rsid w:val="73994A9F"/>
    <w:rsid w:val="7405E23B"/>
    <w:rsid w:val="744F070F"/>
    <w:rsid w:val="750013DB"/>
    <w:rsid w:val="75120247"/>
    <w:rsid w:val="752BE9C1"/>
    <w:rsid w:val="76F39E78"/>
    <w:rsid w:val="7781E274"/>
    <w:rsid w:val="780547F7"/>
    <w:rsid w:val="79334E62"/>
    <w:rsid w:val="7B09FD1D"/>
    <w:rsid w:val="7BD8E1EA"/>
    <w:rsid w:val="7C3F427B"/>
    <w:rsid w:val="7CBE0F75"/>
    <w:rsid w:val="7F39CDA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F584F"/>
  <w15:docId w15:val="{4208F4E9-B515-46BC-8072-5799CED0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F1"/>
        <w:kern w:val="3"/>
        <w:sz w:val="22"/>
        <w:szCs w:val="22"/>
        <w:lang w:val="fr-FR" w:eastAsia="zh-CN"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14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9"/>
    <w:unhideWhenUsed/>
    <w:qFormat/>
    <w:rsid w:val="00CD55CB"/>
    <w:pPr>
      <w:keepNext/>
      <w:widowControl/>
      <w:suppressAutoHyphens w:val="0"/>
      <w:autoSpaceDN/>
      <w:spacing w:after="0" w:line="240" w:lineRule="auto"/>
      <w:ind w:left="907" w:hanging="907"/>
      <w:textAlignment w:val="auto"/>
      <w:outlineLvl w:val="2"/>
    </w:pPr>
    <w:rPr>
      <w:rFonts w:ascii="Arial" w:eastAsiaTheme="minorHAnsi" w:hAnsi="Arial" w:cs="Arial"/>
      <w:b/>
      <w:bCs/>
      <w:caps/>
      <w:color w:val="0099FF"/>
      <w:spacing w:val="-2"/>
      <w:kern w:val="0"/>
      <w:sz w:val="36"/>
      <w:szCs w:val="3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rPr>
      <w:rFonts w:cs="Calibri"/>
      <w:lang w:val="en-GB" w:eastAsia="en-US"/>
    </w:rPr>
  </w:style>
  <w:style w:type="paragraph" w:styleId="CommentText">
    <w:name w:val="annotation text"/>
    <w:basedOn w:val="Standard"/>
    <w:pPr>
      <w:spacing w:line="240" w:lineRule="auto"/>
    </w:pPr>
    <w:rPr>
      <w:rFonts w:cs="Calibri"/>
      <w:sz w:val="20"/>
      <w:szCs w:val="20"/>
      <w:lang w:val="en-GB" w:eastAsia="en-US"/>
    </w:rPr>
  </w:style>
  <w:style w:type="paragraph" w:styleId="Header">
    <w:name w:val="header"/>
    <w:basedOn w:val="Standard"/>
    <w:pPr>
      <w:suppressLineNumbers/>
      <w:tabs>
        <w:tab w:val="center" w:pos="4536"/>
        <w:tab w:val="right" w:pos="9072"/>
      </w:tabs>
      <w:spacing w:after="0" w:line="240" w:lineRule="auto"/>
    </w:pPr>
  </w:style>
  <w:style w:type="paragraph" w:styleId="Footer">
    <w:name w:val="footer"/>
    <w:basedOn w:val="Standard"/>
    <w:pPr>
      <w:suppressLineNumbers/>
      <w:tabs>
        <w:tab w:val="center" w:pos="4536"/>
        <w:tab w:val="right" w:pos="9072"/>
      </w:tabs>
      <w:spacing w:after="0" w:line="240" w:lineRule="auto"/>
    </w:pPr>
  </w:style>
  <w:style w:type="paragraph" w:styleId="CommentSubject">
    <w:name w:val="annotation subject"/>
    <w:basedOn w:val="CommentText"/>
    <w:rPr>
      <w:rFonts w:cs="F1"/>
      <w:b/>
      <w:bCs/>
      <w:lang w:val="fr-FR" w:eastAsia="zh-CN"/>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cs="Calibri"/>
      <w:sz w:val="20"/>
      <w:szCs w:val="20"/>
      <w:lang w:val="en-GB" w:eastAsia="en-U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ommentSubjectChar">
    <w:name w:val="Comment Subject Char"/>
    <w:basedOn w:val="CommentTextChar"/>
    <w:rPr>
      <w:rFonts w:cs="Calibri"/>
      <w:b/>
      <w:bCs/>
      <w:sz w:val="20"/>
      <w:szCs w:val="20"/>
      <w:lang w:val="en-GB" w:eastAsia="en-US"/>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sz w:val="20"/>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character" w:styleId="Hyperlink">
    <w:name w:val="Hyperlink"/>
    <w:basedOn w:val="DefaultParagraphFont"/>
    <w:uiPriority w:val="99"/>
    <w:unhideWhenUsed/>
    <w:rsid w:val="00571381"/>
    <w:rPr>
      <w:color w:val="0563C1" w:themeColor="hyperlink"/>
      <w:u w:val="single"/>
    </w:rPr>
  </w:style>
  <w:style w:type="character" w:styleId="UnresolvedMention">
    <w:name w:val="Unresolved Mention"/>
    <w:basedOn w:val="DefaultParagraphFont"/>
    <w:uiPriority w:val="99"/>
    <w:unhideWhenUsed/>
    <w:rsid w:val="00571381"/>
    <w:rPr>
      <w:color w:val="605E5C"/>
      <w:shd w:val="clear" w:color="auto" w:fill="E1DFDD"/>
    </w:rPr>
  </w:style>
  <w:style w:type="paragraph" w:styleId="BalloonText">
    <w:name w:val="Balloon Text"/>
    <w:basedOn w:val="Normal"/>
    <w:link w:val="BalloonTextChar"/>
    <w:uiPriority w:val="99"/>
    <w:semiHidden/>
    <w:unhideWhenUsed/>
    <w:rsid w:val="00571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81"/>
    <w:rPr>
      <w:rFonts w:ascii="Segoe UI" w:hAnsi="Segoe UI" w:cs="Segoe UI"/>
      <w:sz w:val="18"/>
      <w:szCs w:val="18"/>
    </w:rPr>
  </w:style>
  <w:style w:type="character" w:styleId="Mention">
    <w:name w:val="Mention"/>
    <w:basedOn w:val="DefaultParagraphFont"/>
    <w:uiPriority w:val="99"/>
    <w:unhideWhenUsed/>
    <w:rsid w:val="00ED4902"/>
    <w:rPr>
      <w:color w:val="2B579A"/>
      <w:shd w:val="clear" w:color="auto" w:fill="E1DFDD"/>
    </w:rPr>
  </w:style>
  <w:style w:type="character" w:styleId="FollowedHyperlink">
    <w:name w:val="FollowedHyperlink"/>
    <w:basedOn w:val="DefaultParagraphFont"/>
    <w:uiPriority w:val="99"/>
    <w:semiHidden/>
    <w:unhideWhenUsed/>
    <w:rsid w:val="00CD55CB"/>
    <w:rPr>
      <w:color w:val="954F72" w:themeColor="followedHyperlink"/>
      <w:u w:val="single"/>
    </w:rPr>
  </w:style>
  <w:style w:type="character" w:customStyle="1" w:styleId="Heading3Char">
    <w:name w:val="Heading 3 Char"/>
    <w:basedOn w:val="DefaultParagraphFont"/>
    <w:link w:val="Heading3"/>
    <w:uiPriority w:val="99"/>
    <w:rsid w:val="00CD55CB"/>
    <w:rPr>
      <w:rFonts w:ascii="Arial" w:eastAsiaTheme="minorHAnsi" w:hAnsi="Arial" w:cs="Arial"/>
      <w:b/>
      <w:bCs/>
      <w:caps/>
      <w:color w:val="0099FF"/>
      <w:spacing w:val="-2"/>
      <w:kern w:val="0"/>
      <w:sz w:val="36"/>
      <w:szCs w:val="36"/>
      <w:lang w:val="en-US" w:eastAsia="en-GB"/>
    </w:rPr>
  </w:style>
  <w:style w:type="character" w:customStyle="1" w:styleId="apple-converted-space">
    <w:name w:val="apple-converted-space"/>
    <w:basedOn w:val="DefaultParagraphFont"/>
    <w:rsid w:val="000D03D9"/>
  </w:style>
  <w:style w:type="character" w:customStyle="1" w:styleId="Heading1Char">
    <w:name w:val="Heading 1 Char"/>
    <w:basedOn w:val="DefaultParagraphFont"/>
    <w:link w:val="Heading1"/>
    <w:uiPriority w:val="9"/>
    <w:rsid w:val="00A1148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00560">
      <w:bodyDiv w:val="1"/>
      <w:marLeft w:val="0"/>
      <w:marRight w:val="0"/>
      <w:marTop w:val="0"/>
      <w:marBottom w:val="0"/>
      <w:divBdr>
        <w:top w:val="none" w:sz="0" w:space="0" w:color="auto"/>
        <w:left w:val="none" w:sz="0" w:space="0" w:color="auto"/>
        <w:bottom w:val="none" w:sz="0" w:space="0" w:color="auto"/>
        <w:right w:val="none" w:sz="0" w:space="0" w:color="auto"/>
      </w:divBdr>
    </w:div>
    <w:div w:id="283002559">
      <w:bodyDiv w:val="1"/>
      <w:marLeft w:val="0"/>
      <w:marRight w:val="0"/>
      <w:marTop w:val="0"/>
      <w:marBottom w:val="0"/>
      <w:divBdr>
        <w:top w:val="none" w:sz="0" w:space="0" w:color="auto"/>
        <w:left w:val="none" w:sz="0" w:space="0" w:color="auto"/>
        <w:bottom w:val="none" w:sz="0" w:space="0" w:color="auto"/>
        <w:right w:val="none" w:sz="0" w:space="0" w:color="auto"/>
      </w:divBdr>
    </w:div>
    <w:div w:id="374895366">
      <w:bodyDiv w:val="1"/>
      <w:marLeft w:val="0"/>
      <w:marRight w:val="0"/>
      <w:marTop w:val="0"/>
      <w:marBottom w:val="0"/>
      <w:divBdr>
        <w:top w:val="none" w:sz="0" w:space="0" w:color="auto"/>
        <w:left w:val="none" w:sz="0" w:space="0" w:color="auto"/>
        <w:bottom w:val="none" w:sz="0" w:space="0" w:color="auto"/>
        <w:right w:val="none" w:sz="0" w:space="0" w:color="auto"/>
      </w:divBdr>
    </w:div>
    <w:div w:id="685835190">
      <w:bodyDiv w:val="1"/>
      <w:marLeft w:val="0"/>
      <w:marRight w:val="0"/>
      <w:marTop w:val="0"/>
      <w:marBottom w:val="0"/>
      <w:divBdr>
        <w:top w:val="none" w:sz="0" w:space="0" w:color="auto"/>
        <w:left w:val="none" w:sz="0" w:space="0" w:color="auto"/>
        <w:bottom w:val="none" w:sz="0" w:space="0" w:color="auto"/>
        <w:right w:val="none" w:sz="0" w:space="0" w:color="auto"/>
      </w:divBdr>
    </w:div>
    <w:div w:id="946236726">
      <w:bodyDiv w:val="1"/>
      <w:marLeft w:val="0"/>
      <w:marRight w:val="0"/>
      <w:marTop w:val="0"/>
      <w:marBottom w:val="0"/>
      <w:divBdr>
        <w:top w:val="none" w:sz="0" w:space="0" w:color="auto"/>
        <w:left w:val="none" w:sz="0" w:space="0" w:color="auto"/>
        <w:bottom w:val="none" w:sz="0" w:space="0" w:color="auto"/>
        <w:right w:val="none" w:sz="0" w:space="0" w:color="auto"/>
      </w:divBdr>
    </w:div>
    <w:div w:id="985285276">
      <w:bodyDiv w:val="1"/>
      <w:marLeft w:val="0"/>
      <w:marRight w:val="0"/>
      <w:marTop w:val="0"/>
      <w:marBottom w:val="0"/>
      <w:divBdr>
        <w:top w:val="none" w:sz="0" w:space="0" w:color="auto"/>
        <w:left w:val="none" w:sz="0" w:space="0" w:color="auto"/>
        <w:bottom w:val="none" w:sz="0" w:space="0" w:color="auto"/>
        <w:right w:val="none" w:sz="0" w:space="0" w:color="auto"/>
      </w:divBdr>
      <w:divsChild>
        <w:div w:id="1597053598">
          <w:marLeft w:val="0"/>
          <w:marRight w:val="0"/>
          <w:marTop w:val="0"/>
          <w:marBottom w:val="0"/>
          <w:divBdr>
            <w:top w:val="none" w:sz="0" w:space="0" w:color="auto"/>
            <w:left w:val="none" w:sz="0" w:space="0" w:color="auto"/>
            <w:bottom w:val="none" w:sz="0" w:space="0" w:color="auto"/>
            <w:right w:val="none" w:sz="0" w:space="0" w:color="auto"/>
          </w:divBdr>
          <w:divsChild>
            <w:div w:id="1537499135">
              <w:marLeft w:val="0"/>
              <w:marRight w:val="0"/>
              <w:marTop w:val="0"/>
              <w:marBottom w:val="0"/>
              <w:divBdr>
                <w:top w:val="none" w:sz="0" w:space="0" w:color="auto"/>
                <w:left w:val="none" w:sz="0" w:space="0" w:color="auto"/>
                <w:bottom w:val="none" w:sz="0" w:space="0" w:color="auto"/>
                <w:right w:val="none" w:sz="0" w:space="0" w:color="auto"/>
              </w:divBdr>
              <w:divsChild>
                <w:div w:id="1010252139">
                  <w:marLeft w:val="0"/>
                  <w:marRight w:val="0"/>
                  <w:marTop w:val="0"/>
                  <w:marBottom w:val="0"/>
                  <w:divBdr>
                    <w:top w:val="none" w:sz="0" w:space="0" w:color="auto"/>
                    <w:left w:val="none" w:sz="0" w:space="0" w:color="auto"/>
                    <w:bottom w:val="none" w:sz="0" w:space="0" w:color="auto"/>
                    <w:right w:val="none" w:sz="0" w:space="0" w:color="auto"/>
                  </w:divBdr>
                  <w:divsChild>
                    <w:div w:id="732897884">
                      <w:marLeft w:val="0"/>
                      <w:marRight w:val="0"/>
                      <w:marTop w:val="0"/>
                      <w:marBottom w:val="0"/>
                      <w:divBdr>
                        <w:top w:val="none" w:sz="0" w:space="0" w:color="auto"/>
                        <w:left w:val="none" w:sz="0" w:space="0" w:color="auto"/>
                        <w:bottom w:val="none" w:sz="0" w:space="0" w:color="auto"/>
                        <w:right w:val="none" w:sz="0" w:space="0" w:color="auto"/>
                      </w:divBdr>
                      <w:divsChild>
                        <w:div w:id="539363046">
                          <w:marLeft w:val="0"/>
                          <w:marRight w:val="0"/>
                          <w:marTop w:val="0"/>
                          <w:marBottom w:val="0"/>
                          <w:divBdr>
                            <w:top w:val="none" w:sz="0" w:space="0" w:color="auto"/>
                            <w:left w:val="none" w:sz="0" w:space="0" w:color="auto"/>
                            <w:bottom w:val="none" w:sz="0" w:space="0" w:color="auto"/>
                            <w:right w:val="none" w:sz="0" w:space="0" w:color="auto"/>
                          </w:divBdr>
                          <w:divsChild>
                            <w:div w:id="11603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393698">
      <w:bodyDiv w:val="1"/>
      <w:marLeft w:val="0"/>
      <w:marRight w:val="0"/>
      <w:marTop w:val="0"/>
      <w:marBottom w:val="0"/>
      <w:divBdr>
        <w:top w:val="none" w:sz="0" w:space="0" w:color="auto"/>
        <w:left w:val="none" w:sz="0" w:space="0" w:color="auto"/>
        <w:bottom w:val="none" w:sz="0" w:space="0" w:color="auto"/>
        <w:right w:val="none" w:sz="0" w:space="0" w:color="auto"/>
      </w:divBdr>
    </w:div>
    <w:div w:id="1344822599">
      <w:bodyDiv w:val="1"/>
      <w:marLeft w:val="0"/>
      <w:marRight w:val="0"/>
      <w:marTop w:val="0"/>
      <w:marBottom w:val="0"/>
      <w:divBdr>
        <w:top w:val="none" w:sz="0" w:space="0" w:color="auto"/>
        <w:left w:val="none" w:sz="0" w:space="0" w:color="auto"/>
        <w:bottom w:val="none" w:sz="0" w:space="0" w:color="auto"/>
        <w:right w:val="none" w:sz="0" w:space="0" w:color="auto"/>
      </w:divBdr>
    </w:div>
    <w:div w:id="2133085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5984EC90DD2A4B9E9225000FAF6B36" ma:contentTypeVersion="11" ma:contentTypeDescription="Create a new document." ma:contentTypeScope="" ma:versionID="323f68bc88030a4527de5cbf66d1749f">
  <xsd:schema xmlns:xsd="http://www.w3.org/2001/XMLSchema" xmlns:xs="http://www.w3.org/2001/XMLSchema" xmlns:p="http://schemas.microsoft.com/office/2006/metadata/properties" xmlns:ns2="e8c1a5d4-de06-41c6-971d-aa143742e6b0" xmlns:ns3="18de1a32-789d-4e39-8e9a-b65c9d0a8bc3" targetNamespace="http://schemas.microsoft.com/office/2006/metadata/properties" ma:root="true" ma:fieldsID="0061bc1af8edc66117c2372a37d30398" ns2:_="" ns3:_="">
    <xsd:import namespace="e8c1a5d4-de06-41c6-971d-aa143742e6b0"/>
    <xsd:import namespace="18de1a32-789d-4e39-8e9a-b65c9d0a8b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1a5d4-de06-41c6-971d-aa143742e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e1a32-789d-4e39-8e9a-b65c9d0a8b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de1a32-789d-4e39-8e9a-b65c9d0a8bc3">
      <UserInfo>
        <DisplayName>Kristyn Schrader-King</DisplayName>
        <AccountId>186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39A1D-6952-4736-B69C-33FDD3B21B2E}">
  <ds:schemaRefs>
    <ds:schemaRef ds:uri="http://schemas.microsoft.com/sharepoint/v3/contenttype/forms"/>
  </ds:schemaRefs>
</ds:datastoreItem>
</file>

<file path=customXml/itemProps2.xml><?xml version="1.0" encoding="utf-8"?>
<ds:datastoreItem xmlns:ds="http://schemas.openxmlformats.org/officeDocument/2006/customXml" ds:itemID="{4F7522A5-0654-499A-8E7C-3A6CB11B4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1a5d4-de06-41c6-971d-aa143742e6b0"/>
    <ds:schemaRef ds:uri="18de1a32-789d-4e39-8e9a-b65c9d0a8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A5734-9060-40AC-8930-2D2ABCD3131C}">
  <ds:schemaRefs>
    <ds:schemaRef ds:uri="http://schemas.microsoft.com/office/2006/metadata/properties"/>
    <ds:schemaRef ds:uri="http://schemas.microsoft.com/office/infopath/2007/PartnerControls"/>
    <ds:schemaRef ds:uri="18de1a32-789d-4e39-8e9a-b65c9d0a8bc3"/>
  </ds:schemaRefs>
</ds:datastoreItem>
</file>

<file path=customXml/itemProps4.xml><?xml version="1.0" encoding="utf-8"?>
<ds:datastoreItem xmlns:ds="http://schemas.openxmlformats.org/officeDocument/2006/customXml" ds:itemID="{7AF8847A-8059-486B-8696-5FFCB5D6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Links>
    <vt:vector size="48" baseType="variant">
      <vt:variant>
        <vt:i4>7143494</vt:i4>
      </vt:variant>
      <vt:variant>
        <vt:i4>9</vt:i4>
      </vt:variant>
      <vt:variant>
        <vt:i4>0</vt:i4>
      </vt:variant>
      <vt:variant>
        <vt:i4>5</vt:i4>
      </vt:variant>
      <vt:variant>
        <vt:lpwstr>mailto:kschrader@worldbank.org</vt:lpwstr>
      </vt:variant>
      <vt:variant>
        <vt:lpwstr/>
      </vt:variant>
      <vt:variant>
        <vt:i4>6488173</vt:i4>
      </vt:variant>
      <vt:variant>
        <vt:i4>6</vt:i4>
      </vt:variant>
      <vt:variant>
        <vt:i4>0</vt:i4>
      </vt:variant>
      <vt:variant>
        <vt:i4>5</vt:i4>
      </vt:variant>
      <vt:variant>
        <vt:lpwstr>https://unesdoc.unesco.org/ark:/48223/pf0000374702</vt:lpwstr>
      </vt:variant>
      <vt:variant>
        <vt:lpwstr/>
      </vt:variant>
      <vt:variant>
        <vt:i4>3539056</vt:i4>
      </vt:variant>
      <vt:variant>
        <vt:i4>3</vt:i4>
      </vt:variant>
      <vt:variant>
        <vt:i4>0</vt:i4>
      </vt:variant>
      <vt:variant>
        <vt:i4>5</vt:i4>
      </vt:variant>
      <vt:variant>
        <vt:lpwstr>https://www.worldbank.org/en/topic/education/brief/mission-recovering-education-in-2021</vt:lpwstr>
      </vt:variant>
      <vt:variant>
        <vt:lpwstr/>
      </vt:variant>
      <vt:variant>
        <vt:i4>2359407</vt:i4>
      </vt:variant>
      <vt:variant>
        <vt:i4>0</vt:i4>
      </vt:variant>
      <vt:variant>
        <vt:i4>0</vt:i4>
      </vt:variant>
      <vt:variant>
        <vt:i4>5</vt:i4>
      </vt:variant>
      <vt:variant>
        <vt:lpwstr>https://www.worldbank.org/en/news/factsheet/2021/06/30/learning-data-compact-unesco-unicef-and-the-world-bank-unite-to-end-the-learning-data-crisis</vt:lpwstr>
      </vt:variant>
      <vt:variant>
        <vt:lpwstr/>
      </vt:variant>
      <vt:variant>
        <vt:i4>1638430</vt:i4>
      </vt:variant>
      <vt:variant>
        <vt:i4>9</vt:i4>
      </vt:variant>
      <vt:variant>
        <vt:i4>0</vt:i4>
      </vt:variant>
      <vt:variant>
        <vt:i4>5</vt:i4>
      </vt:variant>
      <vt:variant>
        <vt:lpwstr>https://www.unicef.org/press-releases/schools-more-168-million-children-globally-have-been-completely-closed</vt:lpwstr>
      </vt:variant>
      <vt:variant>
        <vt:lpwstr/>
      </vt:variant>
      <vt:variant>
        <vt:i4>262179</vt:i4>
      </vt:variant>
      <vt:variant>
        <vt:i4>6</vt:i4>
      </vt:variant>
      <vt:variant>
        <vt:i4>0</vt:i4>
      </vt:variant>
      <vt:variant>
        <vt:i4>5</vt:i4>
      </vt:variant>
      <vt:variant>
        <vt:lpwstr>mailto:tshmis@worldbank.org</vt:lpwstr>
      </vt:variant>
      <vt:variant>
        <vt:lpwstr/>
      </vt:variant>
      <vt:variant>
        <vt:i4>1441838</vt:i4>
      </vt:variant>
      <vt:variant>
        <vt:i4>3</vt:i4>
      </vt:variant>
      <vt:variant>
        <vt:i4>0</vt:i4>
      </vt:variant>
      <vt:variant>
        <vt:i4>5</vt:i4>
      </vt:variant>
      <vt:variant>
        <vt:lpwstr>mailto:makmal@worldbank.org</vt:lpwstr>
      </vt:variant>
      <vt:variant>
        <vt:lpwstr/>
      </vt:variant>
      <vt:variant>
        <vt:i4>7143494</vt:i4>
      </vt:variant>
      <vt:variant>
        <vt:i4>0</vt:i4>
      </vt:variant>
      <vt:variant>
        <vt:i4>0</vt:i4>
      </vt:variant>
      <vt:variant>
        <vt:i4>5</vt:i4>
      </vt:variant>
      <vt:variant>
        <vt:lpwstr>mailto:kschrader@worldbank.org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Guttman, Cynthia</dc:creator>
  <cp:keywords/>
  <cp:lastModifiedBy>Agnesa Topuzyan</cp:lastModifiedBy>
  <cp:revision>2</cp:revision>
  <dcterms:created xsi:type="dcterms:W3CDTF">2021-07-16T12:22:00Z</dcterms:created>
  <dcterms:modified xsi:type="dcterms:W3CDTF">2021-07-16T12:22:00Z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0x010100575984EC90DD2A4B9E9225000FAF6B36</vt:lpwstr>
  </property>
</Properties>
</file>