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8D05" w14:textId="77777777" w:rsidR="009354D6" w:rsidRDefault="009354D6" w:rsidP="009354D6">
      <w:pPr>
        <w:rPr>
          <w:rFonts w:ascii="Calibri" w:hAnsi="Calibri" w:cs="Calibri"/>
          <w:b/>
          <w:bCs/>
          <w:sz w:val="48"/>
          <w:szCs w:val="48"/>
          <w:lang w:val="en-GB"/>
        </w:rPr>
      </w:pPr>
      <w:r>
        <w:rPr>
          <w:rFonts w:ascii="Calibri" w:hAnsi="Calibri" w:cs="Calibri"/>
          <w:b/>
          <w:bCs/>
          <w:color w:val="000000"/>
          <w:sz w:val="48"/>
          <w:szCs w:val="48"/>
          <w:lang w:val="en-GB"/>
        </w:rPr>
        <w:t>Scholarships on offer for post-graduate studies of agriculture in Hungary</w:t>
      </w:r>
    </w:p>
    <w:p w14:paraId="0E08A010" w14:textId="77777777" w:rsidR="009354D6" w:rsidRDefault="009354D6" w:rsidP="009354D6">
      <w:pPr>
        <w:rPr>
          <w:rFonts w:ascii="Calibri" w:hAnsi="Calibri" w:cs="Calibri"/>
          <w:color w:val="0070C0"/>
          <w:sz w:val="28"/>
          <w:szCs w:val="28"/>
        </w:rPr>
      </w:pPr>
      <w:r>
        <w:rPr>
          <w:rFonts w:ascii="Calibri" w:hAnsi="Calibri" w:cs="Calibri"/>
          <w:color w:val="0070C0"/>
          <w:sz w:val="28"/>
          <w:szCs w:val="28"/>
        </w:rPr>
        <w:t>Deadline for applications for the 2021</w:t>
      </w:r>
      <w:r>
        <w:rPr>
          <w:rFonts w:ascii="Calibri" w:hAnsi="Calibri" w:cs="Calibri"/>
          <w:color w:val="1F497D"/>
          <w:sz w:val="28"/>
          <w:szCs w:val="28"/>
        </w:rPr>
        <w:t>–</w:t>
      </w:r>
      <w:r>
        <w:rPr>
          <w:rFonts w:ascii="Calibri" w:hAnsi="Calibri" w:cs="Calibri"/>
          <w:color w:val="0070C0"/>
          <w:sz w:val="28"/>
          <w:szCs w:val="28"/>
        </w:rPr>
        <w:t xml:space="preserve">22 </w:t>
      </w:r>
      <w:proofErr w:type="spellStart"/>
      <w:r>
        <w:rPr>
          <w:rFonts w:ascii="Calibri" w:hAnsi="Calibri" w:cs="Calibri"/>
          <w:color w:val="0070C0"/>
          <w:sz w:val="28"/>
          <w:szCs w:val="28"/>
        </w:rPr>
        <w:t>programme</w:t>
      </w:r>
      <w:proofErr w:type="spellEnd"/>
      <w:r>
        <w:rPr>
          <w:rFonts w:ascii="Calibri" w:hAnsi="Calibri" w:cs="Calibri"/>
          <w:color w:val="0070C0"/>
          <w:sz w:val="28"/>
          <w:szCs w:val="28"/>
        </w:rPr>
        <w:t>: 28 February</w:t>
      </w:r>
      <w:r>
        <w:rPr>
          <w:rFonts w:ascii="Calibri" w:hAnsi="Calibri" w:cs="Calibri"/>
          <w:color w:val="1F497D"/>
          <w:sz w:val="28"/>
          <w:szCs w:val="28"/>
        </w:rPr>
        <w:t xml:space="preserve"> </w:t>
      </w:r>
      <w:r>
        <w:rPr>
          <w:rFonts w:ascii="Calibri" w:hAnsi="Calibri" w:cs="Calibri"/>
          <w:color w:val="0070C0"/>
          <w:sz w:val="28"/>
          <w:szCs w:val="28"/>
        </w:rPr>
        <w:t>2021</w:t>
      </w:r>
    </w:p>
    <w:p w14:paraId="7BF14807" w14:textId="77777777" w:rsidR="009354D6" w:rsidRDefault="009354D6" w:rsidP="009354D6">
      <w:pPr>
        <w:rPr>
          <w:rFonts w:ascii="Calibri" w:hAnsi="Calibri" w:cs="Calibri"/>
          <w:color w:val="0070C0"/>
          <w:sz w:val="8"/>
          <w:szCs w:val="8"/>
        </w:rPr>
      </w:pPr>
    </w:p>
    <w:p w14:paraId="72652C1B" w14:textId="4F1ADA86" w:rsidR="009354D6" w:rsidRDefault="009354D6" w:rsidP="009354D6">
      <w:pPr>
        <w:rPr>
          <w:b/>
          <w:bCs/>
          <w:sz w:val="22"/>
          <w:szCs w:val="22"/>
        </w:rPr>
      </w:pPr>
      <w:r>
        <w:rPr>
          <w:b/>
          <w:bCs/>
          <w:noProof/>
          <w:color w:val="000000"/>
          <w:sz w:val="22"/>
          <w:szCs w:val="22"/>
        </w:rPr>
        <w:drawing>
          <wp:inline distT="0" distB="0" distL="0" distR="0" wp14:anchorId="1A31CD6D" wp14:editId="76C06CCD">
            <wp:extent cx="5943600" cy="412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4128135"/>
                    </a:xfrm>
                    <a:prstGeom prst="rect">
                      <a:avLst/>
                    </a:prstGeom>
                    <a:noFill/>
                    <a:ln>
                      <a:noFill/>
                    </a:ln>
                  </pic:spPr>
                </pic:pic>
              </a:graphicData>
            </a:graphic>
          </wp:inline>
        </w:drawing>
      </w:r>
    </w:p>
    <w:p w14:paraId="2E5A0C0F" w14:textId="77777777" w:rsidR="009354D6" w:rsidRDefault="009354D6" w:rsidP="009354D6">
      <w:pPr>
        <w:rPr>
          <w:b/>
          <w:bCs/>
          <w:sz w:val="8"/>
          <w:szCs w:val="8"/>
        </w:rPr>
      </w:pPr>
    </w:p>
    <w:p w14:paraId="4F8D65DA" w14:textId="77777777" w:rsidR="009354D6" w:rsidRDefault="009354D6" w:rsidP="009354D6">
      <w:pPr>
        <w:rPr>
          <w:rFonts w:ascii="Calibri" w:hAnsi="Calibri" w:cs="Calibri"/>
          <w:i/>
          <w:iCs/>
          <w:sz w:val="18"/>
          <w:szCs w:val="18"/>
        </w:rPr>
      </w:pPr>
      <w:r>
        <w:rPr>
          <w:rFonts w:ascii="Calibri" w:hAnsi="Calibri" w:cs="Calibri"/>
          <w:i/>
          <w:iCs/>
          <w:color w:val="000000"/>
          <w:sz w:val="18"/>
          <w:szCs w:val="18"/>
        </w:rPr>
        <w:t xml:space="preserve">Photo: ©Hungarian Ministry of Agriculture </w:t>
      </w:r>
    </w:p>
    <w:p w14:paraId="7E894431" w14:textId="77777777" w:rsidR="009354D6" w:rsidRDefault="009354D6" w:rsidP="009354D6">
      <w:pPr>
        <w:rPr>
          <w:rFonts w:ascii="Calibri" w:hAnsi="Calibri" w:cs="Calibri"/>
          <w:b/>
          <w:bCs/>
          <w:sz w:val="22"/>
          <w:szCs w:val="22"/>
          <w:lang w:val="en-GB"/>
        </w:rPr>
      </w:pPr>
    </w:p>
    <w:p w14:paraId="730A107F" w14:textId="77777777" w:rsidR="009354D6" w:rsidRDefault="009354D6" w:rsidP="009354D6">
      <w:pPr>
        <w:rPr>
          <w:rFonts w:ascii="Calibri" w:hAnsi="Calibri" w:cs="Calibri"/>
          <w:sz w:val="20"/>
          <w:szCs w:val="20"/>
        </w:rPr>
      </w:pPr>
      <w:r>
        <w:rPr>
          <w:rFonts w:ascii="Calibri" w:hAnsi="Calibri" w:cs="Calibri"/>
          <w:b/>
          <w:bCs/>
          <w:i/>
          <w:iCs/>
          <w:color w:val="000000"/>
          <w:sz w:val="22"/>
          <w:szCs w:val="22"/>
          <w:lang w:val="en-GB"/>
        </w:rPr>
        <w:t xml:space="preserve">14 </w:t>
      </w:r>
      <w:r>
        <w:rPr>
          <w:rFonts w:ascii="Calibri" w:hAnsi="Calibri" w:cs="Calibri"/>
          <w:b/>
          <w:bCs/>
          <w:i/>
          <w:iCs/>
          <w:color w:val="000000"/>
          <w:sz w:val="22"/>
          <w:szCs w:val="22"/>
        </w:rPr>
        <w:t>January 2021, Budapest, Hungary –</w:t>
      </w:r>
      <w:r>
        <w:rPr>
          <w:rFonts w:ascii="Calibri" w:hAnsi="Calibri" w:cs="Calibri"/>
          <w:color w:val="000000"/>
          <w:sz w:val="22"/>
          <w:szCs w:val="22"/>
        </w:rPr>
        <w:t xml:space="preserve"> Applications are now being accepted by the </w:t>
      </w:r>
      <w:hyperlink r:id="rId7" w:history="1">
        <w:r>
          <w:rPr>
            <w:rStyle w:val="Hyperlink"/>
            <w:rFonts w:ascii="Calibri" w:hAnsi="Calibri" w:cs="Calibri"/>
            <w:sz w:val="22"/>
            <w:szCs w:val="22"/>
          </w:rPr>
          <w:t xml:space="preserve">FAO / Hungarian Government Scholarship </w:t>
        </w:r>
        <w:proofErr w:type="spellStart"/>
        <w:r>
          <w:rPr>
            <w:rStyle w:val="Hyperlink"/>
            <w:rFonts w:ascii="Calibri" w:hAnsi="Calibri" w:cs="Calibri"/>
            <w:sz w:val="22"/>
            <w:szCs w:val="22"/>
          </w:rPr>
          <w:t>Programme</w:t>
        </w:r>
        <w:proofErr w:type="spellEnd"/>
      </w:hyperlink>
      <w:r>
        <w:rPr>
          <w:rFonts w:ascii="Calibri" w:hAnsi="Calibri" w:cs="Calibri"/>
          <w:color w:val="000000"/>
          <w:sz w:val="22"/>
          <w:szCs w:val="22"/>
        </w:rPr>
        <w:t>. The two-year scholarship finances post-graduate studies in agriculture-related disciplines for promising students from developing and middle-income countries.</w:t>
      </w:r>
    </w:p>
    <w:p w14:paraId="6427CC59" w14:textId="77777777" w:rsidR="009354D6" w:rsidRDefault="009354D6" w:rsidP="009354D6">
      <w:pPr>
        <w:rPr>
          <w:rFonts w:ascii="Calibri" w:hAnsi="Calibri" w:cs="Calibri"/>
          <w:sz w:val="22"/>
          <w:szCs w:val="22"/>
        </w:rPr>
      </w:pPr>
    </w:p>
    <w:p w14:paraId="65D7680B" w14:textId="77777777" w:rsidR="009354D6" w:rsidRDefault="009354D6" w:rsidP="009354D6">
      <w:pPr>
        <w:rPr>
          <w:rFonts w:ascii="Calibri" w:hAnsi="Calibri" w:cs="Calibri"/>
          <w:sz w:val="22"/>
          <w:szCs w:val="22"/>
        </w:rPr>
      </w:pPr>
      <w:r>
        <w:rPr>
          <w:rFonts w:ascii="Calibri" w:hAnsi="Calibri" w:cs="Calibri"/>
          <w:color w:val="000000"/>
          <w:sz w:val="22"/>
          <w:szCs w:val="22"/>
        </w:rPr>
        <w:t xml:space="preserve">Now in its thirteenth consecutive year, the Hungary-sponsored FAO scholarship </w:t>
      </w:r>
      <w:proofErr w:type="spellStart"/>
      <w:r>
        <w:rPr>
          <w:rFonts w:ascii="Calibri" w:hAnsi="Calibri" w:cs="Calibri"/>
          <w:color w:val="000000"/>
          <w:sz w:val="22"/>
          <w:szCs w:val="22"/>
        </w:rPr>
        <w:t>programme</w:t>
      </w:r>
      <w:proofErr w:type="spellEnd"/>
      <w:r>
        <w:rPr>
          <w:rFonts w:ascii="Calibri" w:hAnsi="Calibri" w:cs="Calibri"/>
          <w:color w:val="000000"/>
          <w:sz w:val="22"/>
          <w:szCs w:val="22"/>
        </w:rPr>
        <w:t xml:space="preserve"> offers young professionals the opportunity to widen and deepen their knowledge. Those accepted to the </w:t>
      </w:r>
      <w:proofErr w:type="spellStart"/>
      <w:r>
        <w:rPr>
          <w:rFonts w:ascii="Calibri" w:hAnsi="Calibri" w:cs="Calibri"/>
          <w:color w:val="000000"/>
          <w:sz w:val="22"/>
          <w:szCs w:val="22"/>
        </w:rPr>
        <w:t>programme</w:t>
      </w:r>
      <w:proofErr w:type="spellEnd"/>
      <w:r>
        <w:rPr>
          <w:rFonts w:ascii="Calibri" w:hAnsi="Calibri" w:cs="Calibri"/>
          <w:color w:val="000000"/>
          <w:sz w:val="22"/>
          <w:szCs w:val="22"/>
        </w:rPr>
        <w:t xml:space="preserve"> will pursue studies in agricultural water management engineering, plant protection</w:t>
      </w:r>
      <w:r>
        <w:rPr>
          <w:rFonts w:ascii="Calibri" w:hAnsi="Calibri" w:cs="Calibri"/>
          <w:color w:val="1F497D"/>
          <w:sz w:val="22"/>
          <w:szCs w:val="22"/>
        </w:rPr>
        <w:t>,</w:t>
      </w:r>
      <w:r>
        <w:rPr>
          <w:rFonts w:ascii="Calibri" w:hAnsi="Calibri" w:cs="Calibri"/>
          <w:color w:val="000000"/>
          <w:sz w:val="22"/>
          <w:szCs w:val="22"/>
        </w:rPr>
        <w:t xml:space="preserve"> or crop production at the renowned Hungarian </w:t>
      </w:r>
      <w:proofErr w:type="spellStart"/>
      <w:r>
        <w:rPr>
          <w:rFonts w:ascii="Calibri" w:hAnsi="Calibri" w:cs="Calibri"/>
          <w:color w:val="000000"/>
          <w:sz w:val="22"/>
          <w:szCs w:val="22"/>
        </w:rPr>
        <w:t>Szent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István</w:t>
      </w:r>
      <w:proofErr w:type="spellEnd"/>
      <w:r>
        <w:rPr>
          <w:rFonts w:ascii="Calibri" w:hAnsi="Calibri" w:cs="Calibri"/>
          <w:color w:val="000000"/>
          <w:sz w:val="22"/>
          <w:szCs w:val="22"/>
        </w:rPr>
        <w:t xml:space="preserve"> University.</w:t>
      </w:r>
    </w:p>
    <w:p w14:paraId="13BF558D" w14:textId="77777777" w:rsidR="009354D6" w:rsidRDefault="009354D6" w:rsidP="009354D6">
      <w:pPr>
        <w:rPr>
          <w:rFonts w:ascii="Calibri" w:hAnsi="Calibri" w:cs="Calibri"/>
          <w:sz w:val="22"/>
          <w:szCs w:val="22"/>
        </w:rPr>
      </w:pPr>
    </w:p>
    <w:p w14:paraId="2E41B6C0" w14:textId="77777777" w:rsidR="009354D6" w:rsidRDefault="009354D6" w:rsidP="009354D6">
      <w:pPr>
        <w:rPr>
          <w:rFonts w:ascii="Calibri" w:hAnsi="Calibri" w:cs="Calibri"/>
          <w:sz w:val="22"/>
          <w:szCs w:val="22"/>
        </w:rPr>
      </w:pPr>
      <w:r>
        <w:rPr>
          <w:rFonts w:ascii="Calibri" w:hAnsi="Calibri" w:cs="Calibri"/>
          <w:color w:val="000000"/>
          <w:sz w:val="22"/>
          <w:szCs w:val="22"/>
        </w:rPr>
        <w:t>The scholarship covers application and tuition fees, basic books, dormitory accommodation, subsistence costs, and health insurance.</w:t>
      </w:r>
      <w:r>
        <w:rPr>
          <w:rFonts w:ascii="Calibri" w:hAnsi="Calibri" w:cs="Calibri"/>
          <w:color w:val="1F497D"/>
          <w:sz w:val="22"/>
          <w:szCs w:val="22"/>
        </w:rPr>
        <w:t xml:space="preserve"> </w:t>
      </w:r>
    </w:p>
    <w:p w14:paraId="2A0CA3E4" w14:textId="77777777" w:rsidR="009354D6" w:rsidRDefault="009354D6" w:rsidP="009354D6">
      <w:pPr>
        <w:rPr>
          <w:rFonts w:ascii="Calibri" w:hAnsi="Calibri" w:cs="Calibri"/>
          <w:sz w:val="22"/>
          <w:szCs w:val="22"/>
        </w:rPr>
      </w:pPr>
    </w:p>
    <w:p w14:paraId="41F827E3" w14:textId="77777777" w:rsidR="009354D6" w:rsidRDefault="009354D6" w:rsidP="009354D6">
      <w:pPr>
        <w:rPr>
          <w:rFonts w:ascii="Calibri" w:hAnsi="Calibri" w:cs="Calibri"/>
          <w:sz w:val="22"/>
          <w:szCs w:val="22"/>
        </w:rPr>
      </w:pPr>
      <w:hyperlink r:id="rId8" w:history="1">
        <w:r>
          <w:rPr>
            <w:rStyle w:val="Hyperlink"/>
            <w:rFonts w:ascii="Calibri" w:hAnsi="Calibri" w:cs="Calibri"/>
            <w:sz w:val="22"/>
            <w:szCs w:val="22"/>
          </w:rPr>
          <w:t>Deadline for submitting applications</w:t>
        </w:r>
      </w:hyperlink>
      <w:r>
        <w:rPr>
          <w:rFonts w:ascii="Calibri" w:hAnsi="Calibri" w:cs="Calibri"/>
          <w:color w:val="000000"/>
          <w:sz w:val="22"/>
          <w:szCs w:val="22"/>
        </w:rPr>
        <w:t xml:space="preserve"> is 28 February 2021, for the academic year starting in autumn 2021.</w:t>
      </w:r>
    </w:p>
    <w:p w14:paraId="681F02EF" w14:textId="77777777" w:rsidR="009354D6" w:rsidRDefault="009354D6" w:rsidP="009354D6">
      <w:pPr>
        <w:rPr>
          <w:rFonts w:ascii="Calibri" w:hAnsi="Calibri" w:cs="Calibri"/>
          <w:sz w:val="22"/>
          <w:szCs w:val="22"/>
        </w:rPr>
      </w:pPr>
    </w:p>
    <w:p w14:paraId="08C07201" w14:textId="77777777" w:rsidR="009354D6" w:rsidRDefault="009354D6" w:rsidP="009354D6">
      <w:pPr>
        <w:rPr>
          <w:rFonts w:ascii="Calibri" w:hAnsi="Calibri" w:cs="Calibri"/>
          <w:sz w:val="22"/>
          <w:szCs w:val="22"/>
        </w:rPr>
      </w:pPr>
      <w:r>
        <w:rPr>
          <w:rFonts w:ascii="Calibri" w:hAnsi="Calibri" w:cs="Calibri"/>
          <w:color w:val="000000"/>
          <w:sz w:val="22"/>
          <w:szCs w:val="22"/>
        </w:rPr>
        <w:lastRenderedPageBreak/>
        <w:t>To date, over 350 students have benefitted from the FAO-Hungary scholarship. Returning to their home countries, they have better chances on the job market. They also have access to a global professional network: their fellow scholars and their professors.</w:t>
      </w:r>
    </w:p>
    <w:p w14:paraId="59E24869" w14:textId="77777777" w:rsidR="009354D6" w:rsidRDefault="009354D6" w:rsidP="009354D6">
      <w:pPr>
        <w:rPr>
          <w:rFonts w:ascii="Calibri" w:hAnsi="Calibri" w:cs="Calibri"/>
          <w:sz w:val="22"/>
          <w:szCs w:val="22"/>
        </w:rPr>
      </w:pPr>
    </w:p>
    <w:p w14:paraId="5900B8E3" w14:textId="77777777" w:rsidR="009354D6" w:rsidRDefault="009354D6" w:rsidP="009354D6">
      <w:pPr>
        <w:rPr>
          <w:rFonts w:ascii="Calibri" w:hAnsi="Calibri" w:cs="Calibri"/>
          <w:sz w:val="22"/>
          <w:szCs w:val="22"/>
        </w:rPr>
      </w:pPr>
      <w:r>
        <w:rPr>
          <w:rFonts w:ascii="Calibri" w:hAnsi="Calibri" w:cs="Calibri"/>
          <w:color w:val="000000"/>
          <w:sz w:val="22"/>
          <w:szCs w:val="22"/>
        </w:rPr>
        <w:t xml:space="preserve">Nationals of the following countries, who also reside in their countries, are eligible to apply for the </w:t>
      </w:r>
      <w:proofErr w:type="spellStart"/>
      <w:r>
        <w:rPr>
          <w:rFonts w:ascii="Calibri" w:hAnsi="Calibri" w:cs="Calibri"/>
          <w:color w:val="000000"/>
          <w:sz w:val="22"/>
          <w:szCs w:val="22"/>
        </w:rPr>
        <w:t>programme</w:t>
      </w:r>
      <w:proofErr w:type="spellEnd"/>
      <w:r>
        <w:rPr>
          <w:rFonts w:ascii="Calibri" w:hAnsi="Calibri" w:cs="Calibri"/>
          <w:color w:val="000000"/>
          <w:sz w:val="22"/>
          <w:szCs w:val="22"/>
        </w:rPr>
        <w:t>:</w:t>
      </w:r>
    </w:p>
    <w:p w14:paraId="0BC1C704" w14:textId="77777777" w:rsidR="009354D6" w:rsidRDefault="009354D6" w:rsidP="009354D6">
      <w:pPr>
        <w:rPr>
          <w:rFonts w:ascii="Calibri" w:hAnsi="Calibri" w:cs="Calibri"/>
          <w:sz w:val="22"/>
          <w:szCs w:val="22"/>
        </w:rPr>
      </w:pPr>
    </w:p>
    <w:p w14:paraId="23FCA32C" w14:textId="77777777" w:rsidR="009354D6" w:rsidRDefault="009354D6" w:rsidP="009354D6">
      <w:pPr>
        <w:ind w:left="720"/>
        <w:rPr>
          <w:rFonts w:ascii="Calibri" w:hAnsi="Calibri" w:cs="Calibri"/>
          <w:sz w:val="22"/>
          <w:szCs w:val="22"/>
        </w:rPr>
      </w:pPr>
      <w:r>
        <w:rPr>
          <w:rFonts w:ascii="Calibri" w:hAnsi="Calibri" w:cs="Calibri"/>
          <w:color w:val="000000"/>
          <w:sz w:val="22"/>
          <w:szCs w:val="22"/>
        </w:rPr>
        <w:t>Afghanistan, Albania, Algeria, Angola, Azerbaijan, Armenia, Bangladesh, Belarus, Bosnia and Herzegovina, Burkina Faso, Cambodia, Chad, Egypt, Ethiopia, Gambia, Georgia, Ghana, Jordan, Kazakhstan, Kenya, Kosovo</w:t>
      </w:r>
      <w:r>
        <w:rPr>
          <w:rFonts w:ascii="Calibri" w:hAnsi="Calibri" w:cs="Calibri"/>
          <w:i/>
          <w:iCs/>
          <w:color w:val="000000"/>
          <w:sz w:val="20"/>
          <w:szCs w:val="20"/>
          <w:vertAlign w:val="superscript"/>
        </w:rPr>
        <w:t>1</w:t>
      </w:r>
      <w:r>
        <w:rPr>
          <w:rFonts w:ascii="Calibri" w:hAnsi="Calibri" w:cs="Calibri"/>
          <w:color w:val="000000"/>
          <w:sz w:val="22"/>
          <w:szCs w:val="22"/>
        </w:rPr>
        <w:t>, Kyrgyzstan, Laos, Lebanon, North Macedonia, Madagascar, Mali, Myanmar, Republic of Moldova, Mongolia, Montenegro, Namibia, Nigeria, North Korea, State of Palestine, the Philippines, Republic of Cabo Verde, Serbia, Somalia, South Sudan, Sudan, Tajikistan, Turkmenistan, Uganda, Ukraine, Uzbekistan, Vietnam, Yemen.</w:t>
      </w:r>
      <w:r>
        <w:rPr>
          <w:color w:val="000000"/>
        </w:rPr>
        <w:t xml:space="preserve"> </w:t>
      </w:r>
    </w:p>
    <w:p w14:paraId="2E0C83BC" w14:textId="77777777" w:rsidR="009354D6" w:rsidRDefault="009354D6" w:rsidP="009354D6">
      <w:pPr>
        <w:rPr>
          <w:rFonts w:ascii="Calibri" w:hAnsi="Calibri" w:cs="Calibri"/>
          <w:sz w:val="22"/>
          <w:szCs w:val="22"/>
        </w:rPr>
      </w:pPr>
    </w:p>
    <w:p w14:paraId="31269857" w14:textId="77777777" w:rsidR="009354D6" w:rsidRDefault="009354D6" w:rsidP="009354D6">
      <w:pPr>
        <w:rPr>
          <w:rFonts w:ascii="Calibri" w:hAnsi="Calibri" w:cs="Calibri"/>
          <w:sz w:val="18"/>
          <w:szCs w:val="18"/>
          <w:lang w:val="en-GB"/>
        </w:rPr>
      </w:pPr>
      <w:r>
        <w:rPr>
          <w:rFonts w:ascii="Calibri" w:hAnsi="Calibri" w:cs="Calibri"/>
          <w:i/>
          <w:iCs/>
          <w:color w:val="000000"/>
          <w:sz w:val="20"/>
          <w:szCs w:val="20"/>
          <w:vertAlign w:val="superscript"/>
        </w:rPr>
        <w:t>1</w:t>
      </w:r>
      <w:r>
        <w:rPr>
          <w:rFonts w:ascii="Calibri" w:hAnsi="Calibri" w:cs="Calibri"/>
          <w:i/>
          <w:iCs/>
          <w:color w:val="000000"/>
          <w:sz w:val="20"/>
          <w:szCs w:val="20"/>
        </w:rPr>
        <w:t>References to Kosovo shall be understood to be in the context of Security Council Resolution 1244 (1999).</w:t>
      </w:r>
    </w:p>
    <w:p w14:paraId="30AF21AA" w14:textId="77777777" w:rsidR="009354D6" w:rsidRDefault="009354D6" w:rsidP="009354D6">
      <w:pPr>
        <w:rPr>
          <w:rFonts w:ascii="Calibri" w:hAnsi="Calibri" w:cs="Calibri"/>
          <w:sz w:val="22"/>
          <w:szCs w:val="22"/>
          <w:lang w:val="en-GB"/>
        </w:rPr>
      </w:pPr>
    </w:p>
    <w:p w14:paraId="49AB4B5A" w14:textId="77777777" w:rsidR="009354D6" w:rsidRDefault="009354D6" w:rsidP="009354D6">
      <w:pPr>
        <w:rPr>
          <w:rFonts w:ascii="Calibri" w:hAnsi="Calibri" w:cs="Calibri"/>
          <w:sz w:val="22"/>
          <w:szCs w:val="22"/>
          <w:lang w:val="en-GB"/>
        </w:rPr>
      </w:pPr>
    </w:p>
    <w:p w14:paraId="4B76984E" w14:textId="77777777" w:rsidR="009354D6" w:rsidRDefault="009354D6" w:rsidP="009354D6">
      <w:pPr>
        <w:spacing w:line="252" w:lineRule="auto"/>
        <w:rPr>
          <w:rFonts w:ascii="Calibri" w:hAnsi="Calibri" w:cs="Calibri"/>
          <w:b/>
          <w:bCs/>
          <w:color w:val="0070C0"/>
          <w:sz w:val="28"/>
          <w:szCs w:val="28"/>
        </w:rPr>
      </w:pPr>
      <w:r>
        <w:rPr>
          <w:rFonts w:ascii="Calibri" w:hAnsi="Calibri" w:cs="Calibri"/>
          <w:b/>
          <w:bCs/>
          <w:color w:val="0070C0"/>
          <w:sz w:val="28"/>
          <w:szCs w:val="28"/>
        </w:rPr>
        <w:t>CONTACT:</w:t>
      </w:r>
    </w:p>
    <w:p w14:paraId="1FBDD5A9" w14:textId="77777777" w:rsidR="009354D6" w:rsidRDefault="009354D6" w:rsidP="009354D6">
      <w:pPr>
        <w:spacing w:line="252" w:lineRule="auto"/>
        <w:rPr>
          <w:rFonts w:ascii="Calibri" w:hAnsi="Calibri" w:cs="Calibri"/>
          <w:b/>
          <w:bCs/>
          <w:color w:val="0070C0"/>
          <w:sz w:val="14"/>
          <w:szCs w:val="14"/>
        </w:rPr>
      </w:pPr>
    </w:p>
    <w:p w14:paraId="50BA6865" w14:textId="77777777" w:rsidR="009354D6" w:rsidRDefault="009354D6" w:rsidP="009354D6">
      <w:pPr>
        <w:spacing w:after="240" w:line="276" w:lineRule="auto"/>
        <w:rPr>
          <w:rStyle w:val="Hyperlink"/>
          <w:sz w:val="22"/>
          <w:szCs w:val="22"/>
        </w:rPr>
      </w:pPr>
      <w:hyperlink r:id="rId9" w:history="1">
        <w:r>
          <w:rPr>
            <w:rStyle w:val="Hyperlink"/>
            <w:rFonts w:ascii="Calibri" w:hAnsi="Calibri" w:cs="Calibri"/>
            <w:sz w:val="22"/>
            <w:szCs w:val="22"/>
          </w:rPr>
          <w:t>REU-Scholarship@fao.org</w:t>
        </w:r>
      </w:hyperlink>
    </w:p>
    <w:p w14:paraId="1A43C6C8" w14:textId="77777777" w:rsidR="009354D6" w:rsidRDefault="009354D6" w:rsidP="009354D6">
      <w:pPr>
        <w:rPr>
          <w:rFonts w:ascii="Calibri" w:hAnsi="Calibri" w:cs="Calibri"/>
          <w:lang w:val="en-GB"/>
        </w:rPr>
      </w:pPr>
    </w:p>
    <w:p w14:paraId="352DA333" w14:textId="77777777" w:rsidR="009354D6" w:rsidRDefault="009354D6" w:rsidP="009354D6">
      <w:pPr>
        <w:rPr>
          <w:rFonts w:ascii="Calibri" w:hAnsi="Calibri" w:cs="Calibri"/>
          <w:b/>
          <w:bCs/>
          <w:color w:val="0070C0"/>
          <w:sz w:val="28"/>
          <w:szCs w:val="28"/>
          <w:lang w:val="en-GB"/>
        </w:rPr>
      </w:pPr>
      <w:r>
        <w:rPr>
          <w:rFonts w:ascii="Calibri" w:hAnsi="Calibri" w:cs="Calibri"/>
          <w:b/>
          <w:bCs/>
          <w:color w:val="0070C0"/>
          <w:sz w:val="28"/>
          <w:szCs w:val="28"/>
          <w:lang w:val="en-GB"/>
        </w:rPr>
        <w:t>LINKS:</w:t>
      </w:r>
    </w:p>
    <w:p w14:paraId="32DAAC60" w14:textId="77777777" w:rsidR="009354D6" w:rsidRDefault="009354D6" w:rsidP="009354D6">
      <w:pPr>
        <w:rPr>
          <w:rFonts w:ascii="Calibri" w:hAnsi="Calibri" w:cs="Calibri"/>
          <w:sz w:val="22"/>
          <w:szCs w:val="22"/>
          <w:lang w:val="en-GB"/>
        </w:rPr>
      </w:pPr>
    </w:p>
    <w:p w14:paraId="0A13B858" w14:textId="77777777" w:rsidR="009354D6" w:rsidRDefault="009354D6" w:rsidP="009354D6">
      <w:pPr>
        <w:numPr>
          <w:ilvl w:val="0"/>
          <w:numId w:val="1"/>
        </w:numPr>
        <w:rPr>
          <w:rFonts w:ascii="Calibri" w:eastAsia="Times New Roman" w:hAnsi="Calibri" w:cs="Calibri"/>
          <w:color w:val="1F497D"/>
          <w:sz w:val="22"/>
          <w:szCs w:val="22"/>
          <w:lang w:val="fr-FR"/>
        </w:rPr>
      </w:pPr>
      <w:hyperlink r:id="rId10" w:history="1">
        <w:r>
          <w:rPr>
            <w:rStyle w:val="Hyperlink"/>
            <w:rFonts w:ascii="Calibri" w:eastAsia="Times New Roman" w:hAnsi="Calibri" w:cs="Calibri"/>
            <w:sz w:val="22"/>
            <w:szCs w:val="22"/>
            <w:lang w:val="fr-FR"/>
          </w:rPr>
          <w:t>Application page</w:t>
        </w:r>
      </w:hyperlink>
      <w:r>
        <w:rPr>
          <w:rFonts w:ascii="Calibri" w:eastAsia="Times New Roman" w:hAnsi="Calibri" w:cs="Calibri"/>
          <w:color w:val="1F497D"/>
          <w:sz w:val="22"/>
          <w:szCs w:val="22"/>
          <w:lang w:val="fr-FR"/>
        </w:rPr>
        <w:t>  </w:t>
      </w:r>
    </w:p>
    <w:p w14:paraId="3193B6CD" w14:textId="77777777" w:rsidR="009354D6" w:rsidRDefault="009354D6" w:rsidP="009354D6">
      <w:pPr>
        <w:numPr>
          <w:ilvl w:val="0"/>
          <w:numId w:val="1"/>
        </w:numPr>
        <w:rPr>
          <w:rFonts w:ascii="Calibri" w:eastAsia="Times New Roman" w:hAnsi="Calibri" w:cs="Calibri"/>
          <w:color w:val="1F497D"/>
          <w:sz w:val="22"/>
          <w:szCs w:val="22"/>
        </w:rPr>
      </w:pPr>
      <w:hyperlink r:id="rId11" w:history="1">
        <w:r>
          <w:rPr>
            <w:rStyle w:val="Hyperlink"/>
            <w:rFonts w:ascii="Calibri" w:eastAsia="Times New Roman" w:hAnsi="Calibri" w:cs="Calibri"/>
            <w:sz w:val="22"/>
            <w:szCs w:val="22"/>
          </w:rPr>
          <w:t>Three years of cooperation ahead for FAO and the Hungarian agrarian university</w:t>
        </w:r>
      </w:hyperlink>
    </w:p>
    <w:p w14:paraId="0AD89E1C" w14:textId="77777777" w:rsidR="009354D6" w:rsidRDefault="009354D6" w:rsidP="009354D6">
      <w:pPr>
        <w:numPr>
          <w:ilvl w:val="0"/>
          <w:numId w:val="1"/>
        </w:numPr>
        <w:rPr>
          <w:rFonts w:ascii="Calibri" w:eastAsia="Times New Roman" w:hAnsi="Calibri" w:cs="Calibri"/>
          <w:color w:val="1F497D"/>
          <w:sz w:val="22"/>
          <w:szCs w:val="22"/>
        </w:rPr>
      </w:pPr>
      <w:hyperlink r:id="rId12" w:history="1">
        <w:proofErr w:type="spellStart"/>
        <w:r>
          <w:rPr>
            <w:rStyle w:val="Hyperlink"/>
            <w:rFonts w:ascii="Calibri" w:eastAsia="Times New Roman" w:hAnsi="Calibri" w:cs="Calibri"/>
            <w:sz w:val="22"/>
            <w:szCs w:val="22"/>
          </w:rPr>
          <w:t>Szent</w:t>
        </w:r>
        <w:proofErr w:type="spellEnd"/>
        <w:r>
          <w:rPr>
            <w:rStyle w:val="Hyperlink"/>
            <w:rFonts w:ascii="Calibri" w:eastAsia="Times New Roman" w:hAnsi="Calibri" w:cs="Calibri"/>
            <w:sz w:val="22"/>
            <w:szCs w:val="22"/>
          </w:rPr>
          <w:t xml:space="preserve"> </w:t>
        </w:r>
        <w:proofErr w:type="spellStart"/>
        <w:r>
          <w:rPr>
            <w:rStyle w:val="Hyperlink"/>
            <w:rFonts w:ascii="Calibri" w:eastAsia="Times New Roman" w:hAnsi="Calibri" w:cs="Calibri"/>
            <w:sz w:val="22"/>
            <w:szCs w:val="22"/>
          </w:rPr>
          <w:t>István</w:t>
        </w:r>
        <w:proofErr w:type="spellEnd"/>
        <w:r>
          <w:rPr>
            <w:rStyle w:val="Hyperlink"/>
            <w:rFonts w:ascii="Calibri" w:eastAsia="Times New Roman" w:hAnsi="Calibri" w:cs="Calibri"/>
            <w:sz w:val="22"/>
            <w:szCs w:val="22"/>
          </w:rPr>
          <w:t xml:space="preserve"> University</w:t>
        </w:r>
      </w:hyperlink>
    </w:p>
    <w:p w14:paraId="33363E29" w14:textId="77777777" w:rsidR="009354D6" w:rsidRDefault="009354D6" w:rsidP="009354D6">
      <w:pPr>
        <w:ind w:left="720"/>
        <w:rPr>
          <w:rFonts w:ascii="Calibri" w:hAnsi="Calibri" w:cs="Calibri"/>
          <w:color w:val="1F497D"/>
          <w:sz w:val="22"/>
          <w:szCs w:val="22"/>
        </w:rPr>
      </w:pPr>
    </w:p>
    <w:p w14:paraId="0E6B1C99" w14:textId="77777777" w:rsidR="00B07582" w:rsidRDefault="00B07582"/>
    <w:sectPr w:rsidR="00B07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97C04"/>
    <w:multiLevelType w:val="hybridMultilevel"/>
    <w:tmpl w:val="0960E6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D6"/>
    <w:rsid w:val="009354D6"/>
    <w:rsid w:val="00B0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F3A"/>
  <w15:chartTrackingRefBased/>
  <w15:docId w15:val="{84C3152A-C5F0-43C7-A2A9-B45A997A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4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europe/news/detail-news/en/c/1369300/?utm_source=fao%20press%20release&amp;utm_medium=email&amp;utm_campaign=f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europe/news/detail-news/en/c/1369300/?utm_source=fao%20press%20release&amp;utm_medium=email&amp;utm_campaign=fao" TargetMode="External"/><Relationship Id="rId12" Type="http://schemas.openxmlformats.org/officeDocument/2006/relationships/hyperlink" Target="sziu.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EA57.A5AD4A20" TargetMode="External"/><Relationship Id="rId11" Type="http://schemas.openxmlformats.org/officeDocument/2006/relationships/hyperlink" Target="http://www.fao.org/europe/news/detail-news/en/c/1032667/" TargetMode="External"/><Relationship Id="rId5" Type="http://schemas.openxmlformats.org/officeDocument/2006/relationships/image" Target="media/image1.jpeg"/><Relationship Id="rId10" Type="http://schemas.openxmlformats.org/officeDocument/2006/relationships/hyperlink" Target="http://www.fao.org/europe/news/detail-news/en/c/1369300/" TargetMode="External"/><Relationship Id="rId4" Type="http://schemas.openxmlformats.org/officeDocument/2006/relationships/webSettings" Target="webSettings.xml"/><Relationship Id="rId9" Type="http://schemas.openxmlformats.org/officeDocument/2006/relationships/hyperlink" Target="mailto:REU-Scholarship@fa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Grigoryan, Ani (FAOAM)</dc:creator>
  <cp:keywords/>
  <dc:description/>
  <cp:lastModifiedBy>Grigoryan, Ani (FAOAM)</cp:lastModifiedBy>
  <cp:revision>1</cp:revision>
  <dcterms:created xsi:type="dcterms:W3CDTF">2021-01-14T10:14:00Z</dcterms:created>
  <dcterms:modified xsi:type="dcterms:W3CDTF">2021-01-14T10:15:00Z</dcterms:modified>
</cp:coreProperties>
</file>