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35A137" w14:textId="77777777" w:rsidR="003F145C" w:rsidRPr="00CE46ED" w:rsidRDefault="00027D2C" w:rsidP="00964648">
      <w:pPr>
        <w:rPr>
          <w:rFonts w:ascii="Sylfaen" w:hAnsi="Sylfaen"/>
        </w:rPr>
      </w:pPr>
      <w:r w:rsidRPr="00CE46ED">
        <w:rPr>
          <w:rFonts w:ascii="Sylfaen" w:hAnsi="Sylfaen"/>
          <w:noProof/>
        </w:rPr>
        <w:drawing>
          <wp:inline distT="0" distB="0" distL="114300" distR="114300" wp14:anchorId="3E130502" wp14:editId="7AB3E295">
            <wp:extent cx="6637020" cy="1273810"/>
            <wp:effectExtent l="0" t="0" r="0" b="0"/>
            <wp:docPr id="1" name="image01.png" descr="Macintosh HD:Users:angika:FAO:Press Release Templates:Press Release Template Headers:Press Release Template Header_Armeni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cintosh HD:Users:angika:FAO:Press Release Templates:Press Release Template Headers:Press Release Template Header_Armenian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27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685AF" w14:textId="77777777" w:rsidR="003F145C" w:rsidRPr="00CE46ED" w:rsidRDefault="003F145C" w:rsidP="00964648">
      <w:pPr>
        <w:rPr>
          <w:rFonts w:ascii="Sylfaen" w:hAnsi="Sylfaen"/>
        </w:rPr>
      </w:pPr>
    </w:p>
    <w:p w14:paraId="542730B7" w14:textId="5851840E" w:rsidR="00310148" w:rsidRPr="00CE46ED" w:rsidRDefault="00310148" w:rsidP="00964648">
      <w:pPr>
        <w:rPr>
          <w:rFonts w:ascii="Sylfaen" w:hAnsi="Sylfaen" w:cs="Arial"/>
          <w:b/>
          <w:bCs/>
        </w:rPr>
      </w:pP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Նոր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սպառնալիքների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եր</w:t>
      </w:r>
      <w:r w:rsidR="00CE46ED">
        <w:rPr>
          <w:rFonts w:ascii="Sylfaen" w:eastAsia="Merriweather" w:hAnsi="Sylfaen" w:cs="Times New Roman"/>
          <w:b/>
          <w:sz w:val="48"/>
          <w:szCs w:val="48"/>
        </w:rPr>
        <w:t>և</w:t>
      </w:r>
      <w:r w:rsidRPr="00CE46ED">
        <w:rPr>
          <w:rFonts w:ascii="Sylfaen" w:eastAsia="Merriweather" w:hAnsi="Sylfaen" w:cs="Times New Roman"/>
          <w:b/>
          <w:sz w:val="48"/>
          <w:szCs w:val="48"/>
        </w:rPr>
        <w:t>ան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գալուն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զուգընթաց</w:t>
      </w:r>
      <w:proofErr w:type="spellEnd"/>
      <w:r w:rsidRPr="00CE46ED">
        <w:rPr>
          <w:rFonts w:ascii="Sylfaen" w:eastAsia="Merriweather" w:hAnsi="Sylfaen" w:cs="Times New Roman"/>
          <w:b/>
          <w:sz w:val="48"/>
          <w:szCs w:val="48"/>
        </w:rPr>
        <w:t>՝</w:t>
      </w:r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աղետները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ծանր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վնաս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են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հասցնում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ագրոպարենային</w:t>
      </w:r>
      <w:proofErr w:type="spellEnd"/>
      <w:r w:rsidRPr="00CE46ED">
        <w:rPr>
          <w:rFonts w:ascii="Sylfaen" w:eastAsia="Merriweather" w:hAnsi="Sylfaen" w:cs="Merriweather"/>
          <w:b/>
          <w:sz w:val="48"/>
          <w:szCs w:val="4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b/>
          <w:sz w:val="48"/>
          <w:szCs w:val="48"/>
        </w:rPr>
        <w:t>համակարգերին</w:t>
      </w:r>
      <w:proofErr w:type="spellEnd"/>
    </w:p>
    <w:p w14:paraId="79F3738C" w14:textId="7E84CDFE" w:rsidR="003F145C" w:rsidRPr="00CE46ED" w:rsidRDefault="003F145C" w:rsidP="00964648">
      <w:pPr>
        <w:ind w:left="142"/>
        <w:rPr>
          <w:rFonts w:ascii="Sylfaen" w:hAnsi="Sylfaen"/>
        </w:rPr>
      </w:pPr>
    </w:p>
    <w:p w14:paraId="7E5ED206" w14:textId="29F92408" w:rsidR="00310148" w:rsidRPr="00CE46ED" w:rsidRDefault="00310148" w:rsidP="00964648">
      <w:pPr>
        <w:rPr>
          <w:rFonts w:ascii="Sylfaen" w:hAnsi="Sylfaen" w:cs="Arial"/>
          <w:b/>
          <w:bCs/>
        </w:rPr>
      </w:pPr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ՊԳԿ</w:t>
      </w:r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>-</w:t>
      </w:r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ի</w:t>
      </w:r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նոր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զեկույցի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վկայմամբ</w:t>
      </w:r>
      <w:proofErr w:type="spellEnd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՝</w:t>
      </w:r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բնական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վտանգներից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առաջացող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գյուղատնտեսական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կորուստները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շարունակում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են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ահագնանալ</w:t>
      </w:r>
      <w:proofErr w:type="spellEnd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՝</w:t>
      </w:r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պատճառելով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տնտեսական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վնասներ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r w:rsidR="00CE46ED">
        <w:rPr>
          <w:rFonts w:ascii="Sylfaen" w:eastAsia="Merriweather" w:hAnsi="Sylfaen" w:cs="Times New Roman"/>
          <w:color w:val="366091"/>
          <w:sz w:val="28"/>
          <w:szCs w:val="28"/>
        </w:rPr>
        <w:t>և</w:t>
      </w:r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խաթարելով</w:t>
      </w:r>
      <w:proofErr w:type="spellEnd"/>
      <w:r w:rsidRPr="00CE46ED">
        <w:rPr>
          <w:rFonts w:ascii="Sylfaen" w:eastAsia="Merriweather" w:hAnsi="Sylfaen" w:cs="Merriweather"/>
          <w:color w:val="366091"/>
          <w:sz w:val="28"/>
          <w:szCs w:val="28"/>
        </w:rPr>
        <w:t xml:space="preserve"> </w:t>
      </w:r>
      <w:proofErr w:type="spellStart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սնուցումը</w:t>
      </w:r>
      <w:proofErr w:type="spellEnd"/>
      <w:r w:rsidRPr="00CE46ED">
        <w:rPr>
          <w:rFonts w:ascii="Sylfaen" w:eastAsia="Merriweather" w:hAnsi="Sylfaen" w:cs="Times New Roman"/>
          <w:color w:val="366091"/>
          <w:sz w:val="28"/>
          <w:szCs w:val="28"/>
        </w:rPr>
        <w:t>։</w:t>
      </w:r>
      <w:r w:rsidRPr="00CE46ED">
        <w:rPr>
          <w:rFonts w:ascii="Sylfaen" w:hAnsi="Sylfaen" w:cs="Arial"/>
          <w:b/>
        </w:rPr>
        <w:t xml:space="preserve"> </w:t>
      </w:r>
    </w:p>
    <w:p w14:paraId="47B63404" w14:textId="77777777" w:rsidR="003F145C" w:rsidRPr="00CE46ED" w:rsidRDefault="003F145C" w:rsidP="00964648">
      <w:pPr>
        <w:ind w:left="142"/>
        <w:rPr>
          <w:rFonts w:ascii="Sylfaen" w:hAnsi="Sylfaen"/>
        </w:rPr>
      </w:pPr>
      <w:bookmarkStart w:id="0" w:name="_gjdgxs" w:colFirst="0" w:colLast="0"/>
      <w:bookmarkEnd w:id="0"/>
    </w:p>
    <w:p w14:paraId="0A99DFC7" w14:textId="3E584355" w:rsidR="003F145C" w:rsidRPr="00CE46ED" w:rsidRDefault="00ED3106" w:rsidP="00964648">
      <w:pPr>
        <w:rPr>
          <w:rFonts w:ascii="Sylfaen" w:hAnsi="Sylfaen"/>
        </w:rPr>
      </w:pPr>
      <w:r w:rsidRPr="00CE46ED">
        <w:rPr>
          <w:rFonts w:ascii="Sylfaen" w:hAnsi="Sylfaen"/>
          <w:noProof/>
        </w:rPr>
        <w:drawing>
          <wp:inline distT="0" distB="0" distL="0" distR="0" wp14:anchorId="37ADAF23" wp14:editId="3CFAC21B">
            <wp:extent cx="6629400" cy="4607530"/>
            <wp:effectExtent l="0" t="0" r="0" b="3175"/>
            <wp:docPr id="2" name="Picture 2" descr="Photo: ©FAO/IFAD/WFP/Michael Tewe / F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Photo: ©FAO/IFAD/WFP/Michael Tewe / FA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96" cy="462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0605" w14:textId="100D8160" w:rsidR="00ED3106" w:rsidRPr="00CE46ED" w:rsidRDefault="00ED3106" w:rsidP="00964648">
      <w:pPr>
        <w:rPr>
          <w:rFonts w:ascii="Sylfaen" w:hAnsi="Sylfaen"/>
        </w:rPr>
      </w:pPr>
      <w:r w:rsidRPr="00CE46ED">
        <w:rPr>
          <w:rFonts w:ascii="Sylfaen" w:eastAsia="Merriweather" w:hAnsi="Sylfaen" w:cs="Merriweather"/>
          <w:i/>
          <w:sz w:val="18"/>
          <w:szCs w:val="18"/>
        </w:rPr>
        <w:t xml:space="preserve"> </w:t>
      </w:r>
      <w:proofErr w:type="spellStart"/>
      <w:r w:rsidR="00027D2C" w:rsidRPr="00CE46ED">
        <w:rPr>
          <w:rFonts w:ascii="Sylfaen" w:eastAsia="Merriweather" w:hAnsi="Sylfaen" w:cs="Merriweather"/>
          <w:i/>
          <w:sz w:val="18"/>
          <w:szCs w:val="18"/>
        </w:rPr>
        <w:t>Լուսանկար</w:t>
      </w:r>
      <w:proofErr w:type="spellEnd"/>
      <w:r w:rsidRPr="00CE46ED">
        <w:rPr>
          <w:rFonts w:ascii="Sylfaen" w:eastAsia="Merriweather" w:hAnsi="Sylfaen" w:cs="Times New Roman"/>
          <w:i/>
          <w:sz w:val="18"/>
          <w:szCs w:val="18"/>
          <w:lang w:val="hy-AM"/>
        </w:rPr>
        <w:t>՝</w:t>
      </w:r>
      <w:r w:rsidR="00027D2C" w:rsidRPr="00CE46ED">
        <w:rPr>
          <w:rFonts w:ascii="Sylfaen" w:eastAsia="Merriweather" w:hAnsi="Sylfaen" w:cs="Merriweather"/>
          <w:i/>
          <w:sz w:val="18"/>
          <w:szCs w:val="18"/>
        </w:rPr>
        <w:t xml:space="preserve"> </w:t>
      </w:r>
      <w:r w:rsidRPr="00CE46ED">
        <w:rPr>
          <w:rFonts w:ascii="Sylfaen" w:hAnsi="Sylfaen"/>
          <w:i/>
          <w:iCs/>
          <w:sz w:val="18"/>
          <w:szCs w:val="18"/>
        </w:rPr>
        <w:t>©FAO/IFAD/WFP/</w:t>
      </w:r>
      <w:r w:rsidRPr="00CE46ED">
        <w:rPr>
          <w:rFonts w:ascii="Sylfaen" w:hAnsi="Sylfaen" w:cs="Calibri"/>
          <w:i/>
          <w:iCs/>
          <w:sz w:val="18"/>
          <w:szCs w:val="18"/>
        </w:rPr>
        <w:t xml:space="preserve"> Michael </w:t>
      </w:r>
      <w:proofErr w:type="spellStart"/>
      <w:r w:rsidRPr="00CE46ED">
        <w:rPr>
          <w:rFonts w:ascii="Sylfaen" w:hAnsi="Sylfaen" w:cs="Calibri"/>
          <w:i/>
          <w:iCs/>
          <w:sz w:val="18"/>
          <w:szCs w:val="18"/>
        </w:rPr>
        <w:t>Tewe</w:t>
      </w:r>
      <w:proofErr w:type="spellEnd"/>
    </w:p>
    <w:p w14:paraId="71C0463B" w14:textId="77777777" w:rsidR="00ED3106" w:rsidRPr="00CE46ED" w:rsidRDefault="00ED3106" w:rsidP="00964648">
      <w:pPr>
        <w:rPr>
          <w:rFonts w:ascii="Sylfaen" w:hAnsi="Sylfaen"/>
        </w:rPr>
      </w:pPr>
    </w:p>
    <w:p w14:paraId="68F4326D" w14:textId="0D18449B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bookmarkStart w:id="1" w:name="_GoBack"/>
      <w:r w:rsidRPr="00CE46ED">
        <w:rPr>
          <w:rFonts w:ascii="Sylfaen" w:hAnsi="Sylfaen" w:cs="Arial"/>
          <w:b/>
          <w:sz w:val="22"/>
          <w:szCs w:val="22"/>
        </w:rPr>
        <w:t>2021</w:t>
      </w:r>
      <w:r w:rsidRPr="00CE46ED">
        <w:rPr>
          <w:rFonts w:ascii="Sylfaen" w:hAnsi="Sylfaen" w:cs="Arial"/>
          <w:b/>
          <w:sz w:val="22"/>
          <w:szCs w:val="22"/>
          <w:lang w:val="hy-AM"/>
        </w:rPr>
        <w:t>թ.</w:t>
      </w:r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մարտի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18,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Հռոմ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>.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Գյուղատնտեսությունը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կլանում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ֆինանսական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կորուստների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վնասների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մասը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որոնք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առաջանում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այսօր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առավել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հաճախ</w:t>
      </w:r>
      <w:proofErr w:type="spellEnd"/>
      <w:r w:rsidRPr="00CE46ED">
        <w:rPr>
          <w:rFonts w:ascii="Sylfaen" w:hAnsi="Sylfaen" w:cs="Arial"/>
          <w:sz w:val="22"/>
          <w:szCs w:val="22"/>
          <w:lang w:val="hy-AM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հանդիպող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բարդ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և </w:t>
      </w:r>
      <w:proofErr w:type="spellStart"/>
      <w:r w:rsidRPr="00CE46ED">
        <w:rPr>
          <w:rFonts w:ascii="Sylfaen" w:hAnsi="Sylfaen" w:cs="Arial"/>
          <w:sz w:val="22"/>
          <w:szCs w:val="22"/>
        </w:rPr>
        <w:t>ինտենսիվ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բնույթ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կրող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անքով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ասված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ՊԳԿ-ի </w:t>
      </w:r>
      <w:proofErr w:type="spellStart"/>
      <w:r w:rsidRPr="00CE46ED">
        <w:rPr>
          <w:rFonts w:ascii="Sylfaen" w:hAnsi="Sylfaen" w:cs="Arial"/>
          <w:sz w:val="22"/>
          <w:szCs w:val="22"/>
        </w:rPr>
        <w:t>այսօր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հրապարակված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hyperlink r:id="rId7" w:history="1">
        <w:proofErr w:type="spellStart"/>
        <w:r w:rsidRPr="00CE46ED">
          <w:rPr>
            <w:rStyle w:val="Hyperlink"/>
            <w:rFonts w:ascii="Sylfaen" w:hAnsi="Sylfaen" w:cs="Arial"/>
            <w:sz w:val="22"/>
            <w:szCs w:val="22"/>
          </w:rPr>
          <w:t>նոր</w:t>
        </w:r>
        <w:proofErr w:type="spellEnd"/>
        <w:r w:rsidRPr="00CE46ED">
          <w:rPr>
            <w:rStyle w:val="Hyperlink"/>
            <w:rFonts w:ascii="Sylfaen" w:hAnsi="Sylfaen" w:cs="Arial"/>
            <w:sz w:val="22"/>
            <w:szCs w:val="22"/>
          </w:rPr>
          <w:t xml:space="preserve"> </w:t>
        </w:r>
        <w:proofErr w:type="spellStart"/>
        <w:r w:rsidRPr="00CE46ED">
          <w:rPr>
            <w:rStyle w:val="Hyperlink"/>
            <w:rFonts w:ascii="Sylfaen" w:hAnsi="Sylfaen" w:cs="Arial"/>
            <w:sz w:val="22"/>
            <w:szCs w:val="22"/>
          </w:rPr>
          <w:t>զեկույցում</w:t>
        </w:r>
        <w:proofErr w:type="spellEnd"/>
      </w:hyperlink>
      <w:r w:rsidRPr="00CE46ED">
        <w:rPr>
          <w:rFonts w:ascii="Sylfaen" w:hAnsi="Sylfaen" w:cs="Arial"/>
          <w:sz w:val="22"/>
          <w:szCs w:val="22"/>
        </w:rPr>
        <w:t xml:space="preserve">: </w:t>
      </w:r>
    </w:p>
    <w:p w14:paraId="0AA8C155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7B3F7DC6" w14:textId="7F6EF562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lastRenderedPageBreak/>
        <w:t>Դեռևս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պատմության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ոչ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հանգրվանում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ագրոպարենային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համակարգերն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այսքան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աննախադեպ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սպառնալիքների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շքերթի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չէին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առերեսվել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այդ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թվում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մեգահրդեհները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եղանակի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ծայրահեղ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դրս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որումները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անապատային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մորեխների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արտառոց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ստվար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երամները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COVID-19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համավարակի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պես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նորահայտ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կենսաբանական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սպառնալիքները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Այս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վտանգները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ոչ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միայն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կյանքեր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խլում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այլ</w:t>
      </w:r>
      <w:r w:rsidR="00CE46ED">
        <w:rPr>
          <w:rFonts w:ascii="Sylfaen" w:hAnsi="Sylfaen" w:cs="Arial"/>
          <w:sz w:val="22"/>
          <w:szCs w:val="22"/>
        </w:rPr>
        <w:t>և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կործանում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գործունեությունը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հանգեցնում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համայնքի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ազգային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տարածաշրջանային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մակարդակներում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բացասական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անքների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աստիճանական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մեծացման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որոնց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հաղթահարումը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կարող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սերունդներ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պահանջել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նշված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զեկույցում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։ </w:t>
      </w:r>
    </w:p>
    <w:p w14:paraId="313C07F8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4DC910A3" w14:textId="6D7DD2EB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Ըստ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զեկույցի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ամենամյա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կտրվածքով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հաճախությունն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քան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երեք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անգամ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1970-ական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1980-ական </w:t>
      </w:r>
      <w:proofErr w:type="spellStart"/>
      <w:r w:rsidRPr="00CE46ED">
        <w:rPr>
          <w:rFonts w:ascii="Sylfaen" w:hAnsi="Sylfaen" w:cs="Arial"/>
          <w:sz w:val="22"/>
          <w:szCs w:val="22"/>
        </w:rPr>
        <w:t>թվականների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համեմատությամբ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Ի </w:t>
      </w:r>
      <w:proofErr w:type="spellStart"/>
      <w:r w:rsidRPr="00CE46ED">
        <w:rPr>
          <w:rFonts w:ascii="Sylfaen" w:hAnsi="Sylfaen" w:cs="Arial"/>
          <w:sz w:val="22"/>
          <w:szCs w:val="22"/>
        </w:rPr>
        <w:t>տարբերություն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արդյունաբերության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առ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տրի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զբոսաշրջության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ընդհանուր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առմամբ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գյուղատնտեսությունն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առանձին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վերցրած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կլանում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ազդեցության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63 </w:t>
      </w:r>
      <w:proofErr w:type="spellStart"/>
      <w:r w:rsidRPr="00CE46ED">
        <w:rPr>
          <w:rFonts w:ascii="Sylfaen" w:hAnsi="Sylfaen" w:cs="Arial"/>
          <w:sz w:val="22"/>
          <w:szCs w:val="22"/>
        </w:rPr>
        <w:t>տոկոս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անհամաչափ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բաժինը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իսկ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ոլորտին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պատուհասած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բեռը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հիմնականում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կրում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առավել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թույլ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զարգացած</w:t>
      </w:r>
      <w:r w:rsidR="00CE46ED">
        <w:rPr>
          <w:rFonts w:ascii="Sylfaen" w:hAnsi="Sylfaen" w:cs="Arial"/>
          <w:sz w:val="22"/>
          <w:szCs w:val="22"/>
        </w:rPr>
        <w:t>և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ցածր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եկամուտ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երկրները</w:t>
      </w:r>
      <w:proofErr w:type="spellEnd"/>
      <w:r w:rsidRPr="00CE46ED">
        <w:rPr>
          <w:rFonts w:ascii="Sylfaen" w:hAnsi="Sylfaen" w:cs="Arial"/>
          <w:sz w:val="22"/>
          <w:szCs w:val="22"/>
        </w:rPr>
        <w:t>:</w:t>
      </w:r>
    </w:p>
    <w:p w14:paraId="18EC9197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359012DC" w14:textId="2FBBB288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r w:rsidRPr="00CE46ED">
        <w:rPr>
          <w:rFonts w:ascii="Sylfaen" w:hAnsi="Sylfaen" w:cs="Arial"/>
          <w:sz w:val="22"/>
          <w:szCs w:val="22"/>
        </w:rPr>
        <w:t xml:space="preserve">2008-ից 2018 </w:t>
      </w:r>
      <w:proofErr w:type="spellStart"/>
      <w:r w:rsidRPr="00CE46ED">
        <w:rPr>
          <w:rFonts w:ascii="Sylfaen" w:hAnsi="Sylfaen" w:cs="Arial"/>
          <w:sz w:val="22"/>
          <w:szCs w:val="22"/>
        </w:rPr>
        <w:t>թթ</w:t>
      </w:r>
      <w:proofErr w:type="spellEnd"/>
      <w:r w:rsidRPr="00CE46ED">
        <w:rPr>
          <w:rFonts w:ascii="Sylfaen" w:hAnsi="Sylfaen" w:cs="Arial"/>
          <w:sz w:val="22"/>
          <w:szCs w:val="22"/>
        </w:rPr>
        <w:t>.-</w:t>
      </w:r>
      <w:proofErr w:type="spellStart"/>
      <w:r w:rsidRPr="00CE46ED">
        <w:rPr>
          <w:rFonts w:ascii="Sylfaen" w:hAnsi="Sylfaen" w:cs="Arial"/>
          <w:sz w:val="22"/>
          <w:szCs w:val="22"/>
        </w:rPr>
        <w:t>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տեղի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անքները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զարգացող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տնտեսությունների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ոլորտների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մշակաբույսերի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կենդանիների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ամբողջությամբ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ոչնչացած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մասնակի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վնասված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արտադրության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հետևանքով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քան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108 </w:t>
      </w:r>
      <w:proofErr w:type="spellStart"/>
      <w:r w:rsidRPr="00CE46ED">
        <w:rPr>
          <w:rFonts w:ascii="Sylfaen" w:hAnsi="Sylfaen" w:cs="Arial"/>
          <w:sz w:val="22"/>
          <w:szCs w:val="22"/>
        </w:rPr>
        <w:t>միլիարդ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դոլար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արժեցել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։ </w:t>
      </w:r>
      <w:proofErr w:type="spellStart"/>
      <w:r w:rsidRPr="00CE46ED">
        <w:rPr>
          <w:rFonts w:ascii="Sylfaen" w:hAnsi="Sylfaen" w:cs="Arial"/>
          <w:sz w:val="22"/>
          <w:szCs w:val="22"/>
        </w:rPr>
        <w:t>Այսպիսի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վնասը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կարող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կործանարար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լինել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հատկապես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փոքր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բնամթերային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ֆերմերների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անասնապահների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ձկնորսների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</w:p>
    <w:p w14:paraId="1C34F6EF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73304CFF" w14:textId="404BCCB4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Վերլուծության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ենթարկված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ժամանակահատվածում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Ասիան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ամենաշատ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տուժած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տարածաշրջան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է, </w:t>
      </w:r>
      <w:proofErr w:type="spellStart"/>
      <w:r w:rsidRPr="00CE46ED">
        <w:rPr>
          <w:rFonts w:ascii="Sylfaen" w:hAnsi="Sylfaen" w:cs="Arial"/>
          <w:sz w:val="22"/>
          <w:szCs w:val="22"/>
        </w:rPr>
        <w:t>որի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ընդհանուր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կորուստները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հասել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աննախադեպ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չափի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49 </w:t>
      </w:r>
      <w:proofErr w:type="spellStart"/>
      <w:r w:rsidRPr="00CE46ED">
        <w:rPr>
          <w:rFonts w:ascii="Sylfaen" w:hAnsi="Sylfaen" w:cs="Arial"/>
          <w:sz w:val="22"/>
          <w:szCs w:val="22"/>
        </w:rPr>
        <w:t>միլիարդ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դոլար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հաջորդում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Աֆրիկան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r w:rsidRPr="00CE46ED">
        <w:rPr>
          <w:rFonts w:ascii="Times New Roman" w:hAnsi="Times New Roman" w:cs="Times New Roman"/>
          <w:sz w:val="22"/>
          <w:szCs w:val="22"/>
        </w:rPr>
        <w:t>​​</w:t>
      </w:r>
      <w:r w:rsidRPr="00CE46ED">
        <w:rPr>
          <w:rFonts w:ascii="Sylfaen" w:hAnsi="Sylfaen" w:cs="Arial"/>
          <w:sz w:val="22"/>
          <w:szCs w:val="22"/>
        </w:rPr>
        <w:t xml:space="preserve">30 </w:t>
      </w:r>
      <w:proofErr w:type="spellStart"/>
      <w:r w:rsidRPr="00CE46ED">
        <w:rPr>
          <w:rFonts w:ascii="Sylfaen" w:hAnsi="Sylfaen" w:cs="Arial"/>
          <w:sz w:val="22"/>
          <w:szCs w:val="22"/>
        </w:rPr>
        <w:t>միլիարդ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դոլար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ապա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Լատինական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Ամերիկան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Pr="00CE46ED">
        <w:rPr>
          <w:rFonts w:ascii="Times New Roman" w:hAnsi="Times New Roman" w:cs="Times New Roman"/>
          <w:sz w:val="22"/>
          <w:szCs w:val="22"/>
        </w:rPr>
        <w:t>​​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Կարիբյան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ավազանի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29 </w:t>
      </w:r>
      <w:proofErr w:type="spellStart"/>
      <w:r w:rsidRPr="00CE46ED">
        <w:rPr>
          <w:rFonts w:ascii="Sylfaen" w:hAnsi="Sylfaen" w:cs="Arial"/>
          <w:sz w:val="22"/>
          <w:szCs w:val="22"/>
        </w:rPr>
        <w:t>միլիարդ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դոլար</w:t>
      </w:r>
      <w:proofErr w:type="spellEnd"/>
      <w:r w:rsidRPr="00CE46ED">
        <w:rPr>
          <w:rFonts w:ascii="Sylfaen" w:hAnsi="Sylfaen" w:cs="Arial"/>
          <w:sz w:val="22"/>
          <w:szCs w:val="22"/>
        </w:rPr>
        <w:t>:</w:t>
      </w:r>
    </w:p>
    <w:p w14:paraId="7B0D186A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1F06D2FE" w14:textId="75410578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r w:rsidRPr="00CE46ED">
        <w:rPr>
          <w:rFonts w:ascii="Sylfaen" w:hAnsi="Sylfaen" w:cs="Arial"/>
          <w:sz w:val="22"/>
          <w:szCs w:val="22"/>
        </w:rPr>
        <w:t xml:space="preserve">«COVID-19-ի </w:t>
      </w:r>
      <w:proofErr w:type="spellStart"/>
      <w:r w:rsidRPr="00CE46ED">
        <w:rPr>
          <w:rFonts w:ascii="Sylfaen" w:hAnsi="Sylfaen" w:cs="Arial"/>
          <w:sz w:val="22"/>
          <w:szCs w:val="22"/>
        </w:rPr>
        <w:t>կողմից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գործողության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մեջ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դրված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ցնցումներն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շատ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ընտանիքների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համայնքների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կարող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տագնապահարույց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վիճակի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մեջ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դնել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», - </w:t>
      </w:r>
      <w:proofErr w:type="spellStart"/>
      <w:r w:rsidRPr="00CE46ED">
        <w:rPr>
          <w:rFonts w:ascii="Sylfaen" w:hAnsi="Sylfaen" w:cs="Arial"/>
          <w:sz w:val="22"/>
          <w:szCs w:val="22"/>
        </w:rPr>
        <w:t>զեկույցի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նախաբանում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նշում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ՊԳԿ </w:t>
      </w:r>
      <w:proofErr w:type="spellStart"/>
      <w:r w:rsidRPr="00CE46ED">
        <w:rPr>
          <w:rFonts w:ascii="Sylfaen" w:hAnsi="Sylfaen" w:cs="Arial"/>
          <w:sz w:val="22"/>
          <w:szCs w:val="22"/>
        </w:rPr>
        <w:t>գլխավոր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տնօրեն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Քյու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Դոնգյուն</w:t>
      </w:r>
      <w:proofErr w:type="spellEnd"/>
      <w:r w:rsidRPr="00CE46ED">
        <w:rPr>
          <w:rFonts w:ascii="Sylfaen" w:hAnsi="Sylfaen" w:cs="Arial"/>
          <w:sz w:val="22"/>
          <w:szCs w:val="22"/>
        </w:rPr>
        <w:t>: «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ազդեցությունն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ամենուրեք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վերջինիս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դինամիկան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գնահատելու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հասկանալու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անհետաձգելի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ջանքեր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պահանջվում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կօգնի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առավել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համապարփակ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նորարարական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եղանակներով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նվազեցնել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կառավարել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ազդեցությունը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Դա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անելու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կար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որությունն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հրատապությունը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երբ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է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այսքան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չի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եղել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»։ </w:t>
      </w:r>
    </w:p>
    <w:p w14:paraId="63D91397" w14:textId="77777777" w:rsidR="00ED3106" w:rsidRPr="00CE46ED" w:rsidRDefault="00ED3106" w:rsidP="00964648">
      <w:pPr>
        <w:rPr>
          <w:rFonts w:ascii="Sylfaen" w:hAnsi="Sylfaen" w:cs="Arial"/>
          <w:b/>
          <w:sz w:val="22"/>
          <w:szCs w:val="22"/>
        </w:rPr>
      </w:pPr>
    </w:p>
    <w:p w14:paraId="19D18656" w14:textId="77777777" w:rsidR="00ED3106" w:rsidRPr="00CE46ED" w:rsidRDefault="00ED3106" w:rsidP="00964648">
      <w:pPr>
        <w:rPr>
          <w:rFonts w:ascii="Sylfaen" w:hAnsi="Sylfaen" w:cs="Arial"/>
          <w:b/>
          <w:bCs/>
          <w:sz w:val="22"/>
          <w:szCs w:val="22"/>
        </w:rPr>
      </w:pPr>
      <w:proofErr w:type="spellStart"/>
      <w:r w:rsidRPr="00CE46ED">
        <w:rPr>
          <w:rFonts w:ascii="Sylfaen" w:hAnsi="Sylfaen" w:cs="Arial"/>
          <w:b/>
          <w:sz w:val="22"/>
          <w:szCs w:val="22"/>
        </w:rPr>
        <w:t>Առավել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մեծ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վտանգներ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</w:p>
    <w:p w14:paraId="161B5C19" w14:textId="4B684C0A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Զեկույցում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նշվում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է, </w:t>
      </w:r>
      <w:proofErr w:type="spellStart"/>
      <w:r w:rsidRPr="00CE46ED">
        <w:rPr>
          <w:rFonts w:ascii="Sylfaen" w:hAnsi="Sylfaen" w:cs="Arial"/>
          <w:sz w:val="22"/>
          <w:szCs w:val="22"/>
        </w:rPr>
        <w:t>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երաշտը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արտադրության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կորստի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միակ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ամենամեծ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պատճառն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է, </w:t>
      </w:r>
      <w:proofErr w:type="spellStart"/>
      <w:r w:rsidRPr="00CE46ED">
        <w:rPr>
          <w:rFonts w:ascii="Sylfaen" w:hAnsi="Sylfaen" w:cs="Arial"/>
          <w:sz w:val="22"/>
          <w:szCs w:val="22"/>
        </w:rPr>
        <w:t>որին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ջրհեղեղները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փոթորիկները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հիվանդություններն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վնասատուները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և</w:t>
      </w:r>
      <w:r w:rsidR="00CE46ED">
        <w:rPr>
          <w:rFonts w:ascii="Sylfaen" w:hAnsi="Sylfaen" w:cs="Arial"/>
          <w:sz w:val="22"/>
          <w:szCs w:val="22"/>
        </w:rPr>
        <w:t>և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անտառային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դաշտային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հրդեհները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Թույլ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զարգացած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ցածր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եկամուտ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մշակաբույսերի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կենդանիների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արտադրության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կորստի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քան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34 </w:t>
      </w:r>
      <w:proofErr w:type="spellStart"/>
      <w:r w:rsidRPr="00CE46ED">
        <w:rPr>
          <w:rFonts w:ascii="Sylfaen" w:hAnsi="Sylfaen" w:cs="Arial"/>
          <w:sz w:val="22"/>
          <w:szCs w:val="22"/>
        </w:rPr>
        <w:t>տոկոսը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պայմանավորված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երաշտով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ոլորտին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ընդհանուր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առմամբ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37 </w:t>
      </w:r>
      <w:proofErr w:type="spellStart"/>
      <w:r w:rsidRPr="00CE46ED">
        <w:rPr>
          <w:rFonts w:ascii="Sylfaen" w:hAnsi="Sylfaen" w:cs="Arial"/>
          <w:sz w:val="22"/>
          <w:szCs w:val="22"/>
        </w:rPr>
        <w:t>միլիարդ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դոլարի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վնաս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հասցրել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Երաշտը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գրեթե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առանց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բացառության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մշտապես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ազդեցություն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ունենում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վրա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։ </w:t>
      </w:r>
      <w:proofErr w:type="spellStart"/>
      <w:r w:rsidRPr="00CE46ED">
        <w:rPr>
          <w:rFonts w:ascii="Sylfaen" w:hAnsi="Sylfaen" w:cs="Arial"/>
          <w:sz w:val="22"/>
          <w:szCs w:val="22"/>
        </w:rPr>
        <w:t>Երաշտի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ընդհանուր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ազդեցության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82 </w:t>
      </w:r>
      <w:proofErr w:type="spellStart"/>
      <w:r w:rsidRPr="00CE46ED">
        <w:rPr>
          <w:rFonts w:ascii="Sylfaen" w:hAnsi="Sylfaen" w:cs="Arial"/>
          <w:sz w:val="22"/>
          <w:szCs w:val="22"/>
        </w:rPr>
        <w:t>տոկոսը</w:t>
      </w:r>
      <w:proofErr w:type="spellEnd"/>
      <w:r w:rsidRPr="00CE46ED" w:rsidDel="00A10863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բաժին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ընկնում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ոլորտին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ի </w:t>
      </w:r>
      <w:proofErr w:type="spellStart"/>
      <w:r w:rsidRPr="00CE46ED">
        <w:rPr>
          <w:rFonts w:ascii="Sylfaen" w:hAnsi="Sylfaen" w:cs="Arial"/>
          <w:sz w:val="22"/>
          <w:szCs w:val="22"/>
        </w:rPr>
        <w:t>տարբերություն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ոլորտների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18 </w:t>
      </w:r>
      <w:proofErr w:type="spellStart"/>
      <w:r w:rsidRPr="00CE46ED">
        <w:rPr>
          <w:rFonts w:ascii="Sylfaen" w:hAnsi="Sylfaen" w:cs="Arial"/>
          <w:sz w:val="22"/>
          <w:szCs w:val="22"/>
        </w:rPr>
        <w:t>տոկոսի</w:t>
      </w:r>
      <w:proofErr w:type="spellEnd"/>
      <w:r w:rsidRPr="00CE46ED">
        <w:rPr>
          <w:rFonts w:ascii="Sylfaen" w:hAnsi="Sylfaen" w:cs="Arial"/>
          <w:sz w:val="22"/>
          <w:szCs w:val="22"/>
        </w:rPr>
        <w:t>։</w:t>
      </w:r>
    </w:p>
    <w:p w14:paraId="6C889D00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32A8F02B" w14:textId="102098A4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ոլորտի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խնդրահարույց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գործոններ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դարձել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նա</w:t>
      </w:r>
      <w:r w:rsidR="00CE46ED">
        <w:rPr>
          <w:rFonts w:ascii="Sylfaen" w:hAnsi="Sylfaen" w:cs="Arial"/>
          <w:sz w:val="22"/>
          <w:szCs w:val="22"/>
        </w:rPr>
        <w:t>և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մշակաբույսերի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կենդանիների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վնասատուները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հիվանդությունները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վարակները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։  </w:t>
      </w:r>
      <w:proofErr w:type="spellStart"/>
      <w:r w:rsidRPr="00CE46ED">
        <w:rPr>
          <w:rFonts w:ascii="Sylfaen" w:hAnsi="Sylfaen" w:cs="Arial"/>
          <w:sz w:val="22"/>
          <w:szCs w:val="22"/>
        </w:rPr>
        <w:t>Հենց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այսպիսի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կենսաբանական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2008-2018 </w:t>
      </w:r>
      <w:proofErr w:type="spellStart"/>
      <w:r w:rsidRPr="00CE46ED">
        <w:rPr>
          <w:rFonts w:ascii="Sylfaen" w:hAnsi="Sylfaen" w:cs="Arial"/>
          <w:sz w:val="22"/>
          <w:szCs w:val="22"/>
        </w:rPr>
        <w:t>թվականների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ընթացքում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բերքի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կենդանիների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արտադրության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9 </w:t>
      </w:r>
      <w:proofErr w:type="spellStart"/>
      <w:r w:rsidRPr="00CE46ED">
        <w:rPr>
          <w:rFonts w:ascii="Sylfaen" w:hAnsi="Sylfaen" w:cs="Arial"/>
          <w:sz w:val="22"/>
          <w:szCs w:val="22"/>
        </w:rPr>
        <w:t>տոկոսի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կորստի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պատճառ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դարձել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Այս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բնույթի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հնարավոր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վտանգն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ակնառու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դարձավ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2020 </w:t>
      </w:r>
      <w:proofErr w:type="spellStart"/>
      <w:r w:rsidRPr="00CE46ED">
        <w:rPr>
          <w:rFonts w:ascii="Sylfaen" w:hAnsi="Sylfaen" w:cs="Arial"/>
          <w:sz w:val="22"/>
          <w:szCs w:val="22"/>
        </w:rPr>
        <w:t>թվականին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երբ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անապատային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մորեխների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երամներն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ասպատակեցին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Աֆրիկյան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եղջյուրի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Արաբական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թերակղզու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Հարավար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մտյան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Ասիայի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ոչնչացնելով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մշակաբույսերը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վտանգի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տակ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դնելով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պարենային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անվտանգությունը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</w:p>
    <w:p w14:paraId="135E7D30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1612673B" w14:textId="4712FBE8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lastRenderedPageBreak/>
        <w:t>Դրան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զուգահեռ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COVID-19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համավարակը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լրացուցիչ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բեռ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դնում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ագրոպարենային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համակարգերի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վրա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խորացնելով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առկա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համակարգային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ռիսկերը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որոնք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ահագնացող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անքներ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մարդկանց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կյանքի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կենսապահովման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տնտեսությունների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վրա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ամբողջ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աշխարհում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</w:p>
    <w:p w14:paraId="016D5D24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5B0F1275" w14:textId="221F1A69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b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ազդեցությունը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պարենային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անվտանգության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r w:rsidR="00CE46ED">
        <w:rPr>
          <w:rFonts w:ascii="Sylfaen" w:hAnsi="Sylfaen" w:cs="Arial"/>
          <w:b/>
          <w:sz w:val="22"/>
          <w:szCs w:val="22"/>
        </w:rPr>
        <w:t>և</w:t>
      </w:r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սնուցման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վրա</w:t>
      </w:r>
      <w:proofErr w:type="spellEnd"/>
    </w:p>
    <w:p w14:paraId="6C43EC0A" w14:textId="61A08281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Աղետները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դուրս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գալիս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տիրույթից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կորստաբեր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անքներ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ունենում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պարենային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անվտանգության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սնուցման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վրա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Առաջին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անգամ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ՊԳԿ </w:t>
      </w:r>
      <w:proofErr w:type="spellStart"/>
      <w:r w:rsidRPr="00CE46ED">
        <w:rPr>
          <w:rFonts w:ascii="Sylfaen" w:hAnsi="Sylfaen" w:cs="Arial"/>
          <w:sz w:val="22"/>
          <w:szCs w:val="22"/>
        </w:rPr>
        <w:t>զեկույցի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այս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հրատարակության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մեջ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կորուստները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վերածվում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կալորիականության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սնուցման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համարժեքների</w:t>
      </w:r>
      <w:proofErr w:type="spellEnd"/>
      <w:r w:rsidRPr="00CE46ED">
        <w:rPr>
          <w:rFonts w:ascii="Sylfaen" w:hAnsi="Sylfaen" w:cs="Arial"/>
          <w:sz w:val="22"/>
          <w:szCs w:val="22"/>
        </w:rPr>
        <w:t>:</w:t>
      </w:r>
    </w:p>
    <w:p w14:paraId="2321D47F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04C33E29" w14:textId="41375A40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Օրինակ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հաշվարկված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է, </w:t>
      </w:r>
      <w:proofErr w:type="spellStart"/>
      <w:r w:rsidRPr="00CE46ED">
        <w:rPr>
          <w:rFonts w:ascii="Sylfaen" w:hAnsi="Sylfaen" w:cs="Arial"/>
          <w:sz w:val="22"/>
          <w:szCs w:val="22"/>
        </w:rPr>
        <w:t>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2008-2018 </w:t>
      </w:r>
      <w:proofErr w:type="spellStart"/>
      <w:r w:rsidRPr="00CE46ED">
        <w:rPr>
          <w:rFonts w:ascii="Sylfaen" w:hAnsi="Sylfaen" w:cs="Arial"/>
          <w:sz w:val="22"/>
          <w:szCs w:val="22"/>
        </w:rPr>
        <w:t>թթ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. </w:t>
      </w:r>
      <w:proofErr w:type="spellStart"/>
      <w:proofErr w:type="gramStart"/>
      <w:r w:rsidRPr="00CE46ED">
        <w:rPr>
          <w:rFonts w:ascii="Sylfaen" w:hAnsi="Sylfaen" w:cs="Arial"/>
          <w:sz w:val="22"/>
          <w:szCs w:val="22"/>
        </w:rPr>
        <w:t>թույլ</w:t>
      </w:r>
      <w:proofErr w:type="spellEnd"/>
      <w:proofErr w:type="gram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զարգացած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ցածր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եկամուտ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մշակաբույսերի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կենդանիների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արտադրության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կորուստները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համարժեք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տարեկան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6,9 </w:t>
      </w:r>
      <w:proofErr w:type="spellStart"/>
      <w:r w:rsidRPr="00CE46ED">
        <w:rPr>
          <w:rFonts w:ascii="Sylfaen" w:hAnsi="Sylfaen" w:cs="Arial"/>
          <w:sz w:val="22"/>
          <w:szCs w:val="22"/>
        </w:rPr>
        <w:t>տրիլիոն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կիլոկալորիայի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կորստի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Սա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հավասար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յոթ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միլիոն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չափահասներին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տարեկան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անհրաժեշտ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կալորիաների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քանակին</w:t>
      </w:r>
      <w:proofErr w:type="spellEnd"/>
      <w:r w:rsidRPr="00CE46ED">
        <w:rPr>
          <w:rFonts w:ascii="Sylfaen" w:hAnsi="Sylfaen" w:cs="Arial"/>
          <w:sz w:val="22"/>
          <w:szCs w:val="22"/>
        </w:rPr>
        <w:t>:</w:t>
      </w:r>
    </w:p>
    <w:p w14:paraId="69077E9B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51346E8E" w14:textId="17D3398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Նույն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ժամանակահատվածում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Լատինական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Ամերիկայում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Կարիբյան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ավազանի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տեղի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անքները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փոխարկվում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օրական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մեկ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շնչի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հաշվով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975 </w:t>
      </w:r>
      <w:proofErr w:type="spellStart"/>
      <w:r w:rsidRPr="00CE46ED">
        <w:rPr>
          <w:rFonts w:ascii="Sylfaen" w:hAnsi="Sylfaen" w:cs="Arial"/>
          <w:sz w:val="22"/>
          <w:szCs w:val="22"/>
        </w:rPr>
        <w:t>կալորիայի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կորստի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կազմում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ամենօրյա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պահանջվող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չափաքանակի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40 </w:t>
      </w:r>
      <w:proofErr w:type="spellStart"/>
      <w:r w:rsidRPr="00CE46ED">
        <w:rPr>
          <w:rFonts w:ascii="Sylfaen" w:hAnsi="Sylfaen" w:cs="Arial"/>
          <w:sz w:val="22"/>
          <w:szCs w:val="22"/>
        </w:rPr>
        <w:t>տոկոսը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իսկ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նրանց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հաջորդում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Աֆրիկան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Pr="00CE46ED">
        <w:rPr>
          <w:rFonts w:ascii="Times New Roman" w:hAnsi="Times New Roman" w:cs="Times New Roman"/>
          <w:sz w:val="22"/>
          <w:szCs w:val="22"/>
        </w:rPr>
        <w:t>​​</w:t>
      </w:r>
      <w:r w:rsidRPr="00CE46ED">
        <w:rPr>
          <w:rFonts w:ascii="Sylfaen" w:hAnsi="Sylfaen" w:cs="Arial"/>
          <w:sz w:val="22"/>
          <w:szCs w:val="22"/>
        </w:rPr>
        <w:t xml:space="preserve">(559 </w:t>
      </w:r>
      <w:proofErr w:type="spellStart"/>
      <w:r w:rsidRPr="00CE46ED">
        <w:rPr>
          <w:rFonts w:ascii="Sylfaen" w:hAnsi="Sylfaen" w:cs="Arial"/>
          <w:sz w:val="22"/>
          <w:szCs w:val="22"/>
        </w:rPr>
        <w:t>կալորիա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)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Ասիան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(283 </w:t>
      </w:r>
      <w:proofErr w:type="spellStart"/>
      <w:r w:rsidRPr="00CE46ED">
        <w:rPr>
          <w:rFonts w:ascii="Sylfaen" w:hAnsi="Sylfaen" w:cs="Arial"/>
          <w:sz w:val="22"/>
          <w:szCs w:val="22"/>
        </w:rPr>
        <w:t>կալորիա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): </w:t>
      </w:r>
    </w:p>
    <w:p w14:paraId="621BFB9E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6382183F" w14:textId="77777777" w:rsidR="00ED3106" w:rsidRPr="00CE46ED" w:rsidRDefault="00ED3106" w:rsidP="00964648">
      <w:pPr>
        <w:rPr>
          <w:rFonts w:ascii="Sylfaen" w:hAnsi="Sylfaen" w:cs="Arial"/>
          <w:b/>
          <w:bCs/>
          <w:sz w:val="22"/>
          <w:szCs w:val="22"/>
        </w:rPr>
      </w:pPr>
      <w:proofErr w:type="spellStart"/>
      <w:r w:rsidRPr="00CE46ED">
        <w:rPr>
          <w:rFonts w:ascii="Sylfaen" w:hAnsi="Sylfaen" w:cs="Arial"/>
          <w:b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նկատմամբ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դիմակայուն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ապագան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հնարավո՛ր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է </w:t>
      </w:r>
    </w:p>
    <w:p w14:paraId="10E920DA" w14:textId="12386E2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Դիմակայունության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ռիսկի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նվազեցման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գործադրվող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ջանքերը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մասնավորապես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տեղեկացված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գործողությունների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ձեռնարկման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նպատակով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տվյալների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հավաքագրումը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վերլուծությունը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անգնահատելի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նշանակություն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կենսակայուն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ապագայի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հասնելու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կար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որագույն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դերակատարության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ապահովման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ընդգծում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ՊԳԿ </w:t>
      </w:r>
      <w:proofErr w:type="spellStart"/>
      <w:r w:rsidRPr="00CE46ED">
        <w:rPr>
          <w:rFonts w:ascii="Sylfaen" w:hAnsi="Sylfaen" w:cs="Arial"/>
          <w:sz w:val="22"/>
          <w:szCs w:val="22"/>
        </w:rPr>
        <w:t>նոր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զեկույցը</w:t>
      </w:r>
      <w:proofErr w:type="spellEnd"/>
      <w:r w:rsidRPr="00CE46ED">
        <w:rPr>
          <w:rFonts w:ascii="Sylfaen" w:hAnsi="Sylfaen" w:cs="Arial"/>
          <w:sz w:val="22"/>
          <w:szCs w:val="22"/>
        </w:rPr>
        <w:t>։</w:t>
      </w:r>
    </w:p>
    <w:p w14:paraId="57C21F4A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5A9DF740" w14:textId="02D54790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Ամբողջականության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սկզբունքի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վրա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հիմնված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արձագանքը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միջոլորտային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համագործակցությունն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առանցքային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նշանակություն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արձագանքման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պետք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բազմավտանգ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բազմակողմանի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համակարգային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ռիսկերի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կառավարման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մոտեցում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որդեգրեն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ոլորտում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ռիսկերի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կանխատեսման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կանխարգելման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նախապատրաստման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արձագանքման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CE46ED">
        <w:rPr>
          <w:rFonts w:ascii="Sylfaen" w:hAnsi="Sylfaen" w:cs="Arial"/>
          <w:sz w:val="22"/>
          <w:szCs w:val="22"/>
        </w:rPr>
        <w:t>Ռազմավարությունները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պետք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ներառեն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ոչ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միայն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վտանգները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այլ</w:t>
      </w:r>
      <w:r w:rsidR="00CE46ED">
        <w:rPr>
          <w:rFonts w:ascii="Sylfaen" w:hAnsi="Sylfaen" w:cs="Arial"/>
          <w:sz w:val="22"/>
          <w:szCs w:val="22"/>
        </w:rPr>
        <w:t>և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մարդածին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կենսաբանական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սպառնալիքները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ինչպիսիք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COVID-19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համավարակը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խարսխվեն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ռիսկերի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համակարգային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բնույթի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փոխկապակցվածության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ըմբռնման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վրա</w:t>
      </w:r>
      <w:proofErr w:type="spellEnd"/>
      <w:r w:rsidRPr="00CE46ED">
        <w:rPr>
          <w:rFonts w:ascii="Sylfaen" w:hAnsi="Sylfaen" w:cs="Arial"/>
          <w:sz w:val="22"/>
          <w:szCs w:val="22"/>
        </w:rPr>
        <w:t>:</w:t>
      </w:r>
    </w:p>
    <w:p w14:paraId="59A8734D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79234AF5" w14:textId="30C0B7BE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Նորարարությունները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ինչպիսիք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հեռահար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զոնդավորումը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երկրատարածական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տվյալների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հավաքագրումը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դրոնները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(</w:t>
      </w:r>
      <w:proofErr w:type="spellStart"/>
      <w:r w:rsidRPr="00CE46ED">
        <w:rPr>
          <w:rFonts w:ascii="Sylfaen" w:hAnsi="Sylfaen" w:cs="Arial"/>
          <w:sz w:val="22"/>
          <w:szCs w:val="22"/>
        </w:rPr>
        <w:t>անօդաչու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թռչող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սարք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)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արձագանքման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նպատակով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ռոբոտաշինությունը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մեքենայական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ուսուցումը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գնահատման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Pr="00CE46ED">
        <w:rPr>
          <w:rFonts w:ascii="Times New Roman" w:hAnsi="Times New Roman" w:cs="Times New Roman"/>
          <w:sz w:val="22"/>
          <w:szCs w:val="22"/>
        </w:rPr>
        <w:t>​​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տվյալների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հավաքագրման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նորագույն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հզոր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գործիքներ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որոնք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մեջ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ռիսկերի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նվազեցման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մեծ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ասելիք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</w:t>
      </w:r>
    </w:p>
    <w:p w14:paraId="21DD53FC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59FF8ABE" w14:textId="1B5B6440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t>Արդյունավետ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կառավարումից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բացի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կար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CE46ED">
        <w:rPr>
          <w:rFonts w:ascii="Sylfaen" w:hAnsi="Sylfaen" w:cs="Arial"/>
          <w:sz w:val="22"/>
          <w:szCs w:val="22"/>
        </w:rPr>
        <w:t>նա</w:t>
      </w:r>
      <w:r w:rsidR="00CE46ED">
        <w:rPr>
          <w:rFonts w:ascii="Sylfaen" w:hAnsi="Sylfaen" w:cs="Arial"/>
          <w:sz w:val="22"/>
          <w:szCs w:val="22"/>
        </w:rPr>
        <w:t>և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նպաստել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պետական-մասնավոր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գործընկերությանը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կլիմայի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փոփոխության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նկատմամբ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զգայունության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նվազեցման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ներդրումների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հրատապության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խնդրի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լուծման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նպատակով</w:t>
      </w:r>
      <w:proofErr w:type="spellEnd"/>
      <w:r w:rsidRPr="00CE46ED">
        <w:rPr>
          <w:rFonts w:ascii="Sylfaen" w:hAnsi="Sylfaen" w:cs="Arial"/>
          <w:sz w:val="22"/>
          <w:szCs w:val="22"/>
        </w:rPr>
        <w:t>:</w:t>
      </w:r>
    </w:p>
    <w:p w14:paraId="5994E95B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3B7A9109" w14:textId="77777777" w:rsidR="00ED3106" w:rsidRPr="00CE46ED" w:rsidRDefault="00ED3106" w:rsidP="00964648">
      <w:pPr>
        <w:rPr>
          <w:rFonts w:ascii="Sylfaen" w:hAnsi="Sylfaen" w:cs="Arial"/>
          <w:b/>
          <w:bCs/>
          <w:sz w:val="22"/>
          <w:szCs w:val="22"/>
        </w:rPr>
      </w:pPr>
      <w:proofErr w:type="spellStart"/>
      <w:r w:rsidRPr="00CE46ED">
        <w:rPr>
          <w:rFonts w:ascii="Sylfaen" w:hAnsi="Sylfaen" w:cs="Arial"/>
          <w:b/>
          <w:sz w:val="22"/>
          <w:szCs w:val="22"/>
        </w:rPr>
        <w:t>Զեկույցի</w:t>
      </w:r>
      <w:proofErr w:type="spellEnd"/>
      <w:r w:rsidRPr="00CE46ED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b/>
          <w:sz w:val="22"/>
          <w:szCs w:val="22"/>
        </w:rPr>
        <w:t>մասին</w:t>
      </w:r>
      <w:proofErr w:type="spellEnd"/>
    </w:p>
    <w:p w14:paraId="681AE354" w14:textId="7E89A4FA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  <w:r w:rsidRPr="00CE46ED">
        <w:rPr>
          <w:rFonts w:ascii="Sylfaen" w:hAnsi="Sylfaen" w:cs="Arial"/>
          <w:i/>
          <w:sz w:val="22"/>
          <w:szCs w:val="22"/>
        </w:rPr>
        <w:t>«</w:t>
      </w:r>
      <w:proofErr w:type="spellStart"/>
      <w:r w:rsidRPr="00CE46ED">
        <w:rPr>
          <w:rFonts w:ascii="Sylfaen" w:hAnsi="Sylfaen" w:cs="Arial"/>
          <w:i/>
          <w:sz w:val="22"/>
          <w:szCs w:val="22"/>
        </w:rPr>
        <w:t>Աղետների</w:t>
      </w:r>
      <w:proofErr w:type="spellEnd"/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r w:rsidR="00CE46ED">
        <w:rPr>
          <w:rFonts w:ascii="Sylfaen" w:hAnsi="Sylfaen" w:cs="Arial"/>
          <w:i/>
          <w:sz w:val="22"/>
          <w:szCs w:val="22"/>
        </w:rPr>
        <w:t>և</w:t>
      </w:r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i/>
          <w:sz w:val="22"/>
          <w:szCs w:val="22"/>
        </w:rPr>
        <w:t>ճգնաժամերի</w:t>
      </w:r>
      <w:proofErr w:type="spellEnd"/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i/>
          <w:sz w:val="22"/>
          <w:szCs w:val="22"/>
        </w:rPr>
        <w:t>ազդեցությունը</w:t>
      </w:r>
      <w:proofErr w:type="spellEnd"/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i/>
          <w:sz w:val="22"/>
          <w:szCs w:val="22"/>
        </w:rPr>
        <w:t>գյուղատնտեսության</w:t>
      </w:r>
      <w:proofErr w:type="spellEnd"/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r w:rsidR="00CE46ED">
        <w:rPr>
          <w:rFonts w:ascii="Sylfaen" w:hAnsi="Sylfaen" w:cs="Arial"/>
          <w:i/>
          <w:sz w:val="22"/>
          <w:szCs w:val="22"/>
        </w:rPr>
        <w:t>և</w:t>
      </w:r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i/>
          <w:sz w:val="22"/>
          <w:szCs w:val="22"/>
        </w:rPr>
        <w:t>պարենային</w:t>
      </w:r>
      <w:proofErr w:type="spellEnd"/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i/>
          <w:sz w:val="22"/>
          <w:szCs w:val="22"/>
        </w:rPr>
        <w:t>անվտանգության</w:t>
      </w:r>
      <w:proofErr w:type="spellEnd"/>
      <w:r w:rsidRPr="00CE46ED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i/>
          <w:sz w:val="22"/>
          <w:szCs w:val="22"/>
        </w:rPr>
        <w:t>վրա</w:t>
      </w:r>
      <w:proofErr w:type="spellEnd"/>
      <w:r w:rsidRPr="00CE46ED">
        <w:rPr>
          <w:rFonts w:ascii="Sylfaen" w:hAnsi="Sylfaen" w:cs="Arial"/>
          <w:i/>
          <w:sz w:val="22"/>
          <w:szCs w:val="22"/>
        </w:rPr>
        <w:t xml:space="preserve">» </w:t>
      </w:r>
      <w:proofErr w:type="spellStart"/>
      <w:r w:rsidRPr="00CE46ED">
        <w:rPr>
          <w:rFonts w:ascii="Sylfaen" w:hAnsi="Sylfaen" w:cs="Arial"/>
          <w:sz w:val="22"/>
          <w:szCs w:val="22"/>
        </w:rPr>
        <w:t>վերտառությամբ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ՊԳԿ </w:t>
      </w:r>
      <w:proofErr w:type="spellStart"/>
      <w:r w:rsidRPr="00CE46ED">
        <w:rPr>
          <w:rFonts w:ascii="Sylfaen" w:hAnsi="Sylfaen" w:cs="Arial"/>
          <w:sz w:val="22"/>
          <w:szCs w:val="22"/>
        </w:rPr>
        <w:t>հերթական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զեկույցում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ներկայացված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արտադրության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կորուստների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ամենավերջին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միտումները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որոնք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վերագրվում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բոլոր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հատվածներում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տեղի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: 2021 </w:t>
      </w:r>
      <w:proofErr w:type="spellStart"/>
      <w:r w:rsidRPr="00CE46ED">
        <w:rPr>
          <w:rFonts w:ascii="Sylfaen" w:hAnsi="Sylfaen" w:cs="Arial"/>
          <w:sz w:val="22"/>
          <w:szCs w:val="22"/>
        </w:rPr>
        <w:t>թվականի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հրատարակությունն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անդրադարձել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է 109 </w:t>
      </w:r>
      <w:proofErr w:type="spellStart"/>
      <w:r w:rsidRPr="00CE46ED">
        <w:rPr>
          <w:rFonts w:ascii="Sylfaen" w:hAnsi="Sylfaen" w:cs="Arial"/>
          <w:sz w:val="22"/>
          <w:szCs w:val="22"/>
        </w:rPr>
        <w:t>տարածաշրջաններում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տեղի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457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եկամտային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կատեգորիաներին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այդ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թվում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CE46ED">
        <w:rPr>
          <w:rFonts w:ascii="Sylfaen" w:hAnsi="Sylfaen" w:cs="Arial"/>
          <w:sz w:val="22"/>
          <w:szCs w:val="22"/>
        </w:rPr>
        <w:t>առաջին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անգամ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վերին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բարձր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եկամուտ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երկրներում</w:t>
      </w:r>
      <w:proofErr w:type="spellEnd"/>
      <w:r w:rsidRPr="00CE46ED">
        <w:rPr>
          <w:rFonts w:ascii="Sylfaen" w:hAnsi="Sylfaen" w:cs="Arial"/>
          <w:sz w:val="22"/>
          <w:szCs w:val="22"/>
        </w:rPr>
        <w:t>:</w:t>
      </w:r>
    </w:p>
    <w:p w14:paraId="1176239E" w14:textId="77777777" w:rsidR="00ED3106" w:rsidRPr="00CE46ED" w:rsidRDefault="00ED3106" w:rsidP="00964648">
      <w:pPr>
        <w:rPr>
          <w:rFonts w:ascii="Sylfaen" w:hAnsi="Sylfaen" w:cs="Arial"/>
          <w:sz w:val="22"/>
          <w:szCs w:val="22"/>
        </w:rPr>
      </w:pPr>
    </w:p>
    <w:p w14:paraId="3BBDA7CA" w14:textId="17603D4F" w:rsidR="003F145C" w:rsidRPr="00CE46ED" w:rsidRDefault="00ED3106" w:rsidP="00964648">
      <w:pPr>
        <w:rPr>
          <w:rFonts w:ascii="Sylfaen" w:hAnsi="Sylfaen" w:cs="Arial"/>
          <w:sz w:val="22"/>
          <w:szCs w:val="22"/>
        </w:rPr>
      </w:pPr>
      <w:proofErr w:type="spellStart"/>
      <w:r w:rsidRPr="00CE46ED">
        <w:rPr>
          <w:rFonts w:ascii="Sylfaen" w:hAnsi="Sylfaen" w:cs="Arial"/>
          <w:sz w:val="22"/>
          <w:szCs w:val="22"/>
        </w:rPr>
        <w:lastRenderedPageBreak/>
        <w:t>Աղետների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հետ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>անքով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կորուստներ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արձանագրած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109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երկրներից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94-ը </w:t>
      </w:r>
      <w:proofErr w:type="spellStart"/>
      <w:r w:rsidRPr="00CE46ED">
        <w:rPr>
          <w:rFonts w:ascii="Sylfaen" w:hAnsi="Sylfaen" w:cs="Arial"/>
          <w:sz w:val="22"/>
          <w:szCs w:val="22"/>
        </w:rPr>
        <w:t>թույլ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զարգացած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r w:rsidR="00CE46ED">
        <w:rPr>
          <w:rFonts w:ascii="Sylfaen" w:hAnsi="Sylfaen" w:cs="Arial"/>
          <w:sz w:val="22"/>
          <w:szCs w:val="22"/>
        </w:rPr>
        <w:t>և</w:t>
      </w:r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ցածր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միջին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եկամուտ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ունեցող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երկրների</w:t>
      </w:r>
      <w:proofErr w:type="spellEnd"/>
      <w:r w:rsidRPr="00CE46ED" w:rsidDel="00A10863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ցանկում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CE46ED">
        <w:rPr>
          <w:rFonts w:ascii="Sylfaen" w:hAnsi="Sylfaen" w:cs="Arial"/>
          <w:sz w:val="22"/>
          <w:szCs w:val="22"/>
        </w:rPr>
        <w:t>որտեղ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389 </w:t>
      </w:r>
      <w:proofErr w:type="spellStart"/>
      <w:r w:rsidRPr="00CE46ED">
        <w:rPr>
          <w:rFonts w:ascii="Sylfaen" w:hAnsi="Sylfaen" w:cs="Arial"/>
          <w:sz w:val="22"/>
          <w:szCs w:val="22"/>
        </w:rPr>
        <w:t>աղետներ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խոչընդոտներ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են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հարուցել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գյուղատնտեսական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արտադրության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CE46ED">
        <w:rPr>
          <w:rFonts w:ascii="Sylfaen" w:hAnsi="Sylfaen" w:cs="Arial"/>
          <w:sz w:val="22"/>
          <w:szCs w:val="22"/>
        </w:rPr>
        <w:t>համար</w:t>
      </w:r>
      <w:proofErr w:type="spellEnd"/>
      <w:r w:rsidRPr="00CE46ED">
        <w:rPr>
          <w:rFonts w:ascii="Sylfaen" w:hAnsi="Sylfaen" w:cs="Arial"/>
          <w:sz w:val="22"/>
          <w:szCs w:val="22"/>
        </w:rPr>
        <w:t xml:space="preserve">։ </w:t>
      </w:r>
    </w:p>
    <w:p w14:paraId="75DAB1CB" w14:textId="77777777" w:rsidR="003F145C" w:rsidRPr="00CE46ED" w:rsidRDefault="003F145C" w:rsidP="00964648">
      <w:pPr>
        <w:ind w:left="142"/>
        <w:rPr>
          <w:rFonts w:ascii="Sylfaen" w:hAnsi="Sylfaen"/>
        </w:rPr>
      </w:pPr>
    </w:p>
    <w:p w14:paraId="61E3A88A" w14:textId="77777777" w:rsidR="003F145C" w:rsidRPr="00CE46ED" w:rsidRDefault="00027D2C" w:rsidP="00964648">
      <w:pPr>
        <w:ind w:left="142"/>
        <w:rPr>
          <w:rFonts w:ascii="Sylfaen" w:hAnsi="Sylfaen"/>
        </w:rPr>
      </w:pPr>
      <w:proofErr w:type="spellStart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>Լրագրողներ</w:t>
      </w:r>
      <w:proofErr w:type="spellEnd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 xml:space="preserve"> և </w:t>
      </w:r>
      <w:proofErr w:type="spellStart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>խմբագիրներ</w:t>
      </w:r>
      <w:proofErr w:type="spellEnd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>՝</w:t>
      </w:r>
    </w:p>
    <w:p w14:paraId="75C59045" w14:textId="77777777" w:rsidR="003F145C" w:rsidRPr="00CE46ED" w:rsidRDefault="00027D2C" w:rsidP="00964648">
      <w:pPr>
        <w:ind w:left="142"/>
        <w:rPr>
          <w:rFonts w:ascii="Sylfaen" w:hAnsi="Sylfaen"/>
        </w:rPr>
      </w:pPr>
      <w:proofErr w:type="spellStart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>Լուսանկարենրի</w:t>
      </w:r>
      <w:proofErr w:type="spellEnd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 xml:space="preserve">, </w:t>
      </w:r>
      <w:proofErr w:type="spellStart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>տեսանյութերի</w:t>
      </w:r>
      <w:proofErr w:type="spellEnd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 xml:space="preserve"> և </w:t>
      </w:r>
      <w:proofErr w:type="spellStart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>աուդիոնյութերի</w:t>
      </w:r>
      <w:proofErr w:type="spellEnd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>համար</w:t>
      </w:r>
      <w:proofErr w:type="spellEnd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color w:val="1A1A1A"/>
          <w:sz w:val="18"/>
          <w:szCs w:val="18"/>
        </w:rPr>
        <w:t>դիմել</w:t>
      </w:r>
      <w:proofErr w:type="spellEnd"/>
      <w:r w:rsidRPr="00CE46ED">
        <w:rPr>
          <w:rFonts w:ascii="Sylfaen" w:eastAsia="Calibri" w:hAnsi="Sylfaen" w:cs="Calibri"/>
          <w:color w:val="1A1A1A"/>
          <w:sz w:val="18"/>
          <w:szCs w:val="18"/>
        </w:rPr>
        <w:t xml:space="preserve"> </w:t>
      </w:r>
      <w:r w:rsidRPr="00CE46ED">
        <w:rPr>
          <w:rFonts w:ascii="Sylfaen" w:eastAsia="Calibri" w:hAnsi="Sylfaen" w:cs="Calibri"/>
          <w:color w:val="3E003F"/>
          <w:sz w:val="18"/>
          <w:szCs w:val="18"/>
        </w:rPr>
        <w:t xml:space="preserve">(+39) 06 570 53625 </w:t>
      </w:r>
      <w:proofErr w:type="spellStart"/>
      <w:r w:rsidRPr="00CE46ED">
        <w:rPr>
          <w:rFonts w:ascii="Sylfaen" w:eastAsia="Merriweather" w:hAnsi="Sylfaen" w:cs="Merriweather"/>
          <w:color w:val="3E003F"/>
          <w:sz w:val="18"/>
          <w:szCs w:val="18"/>
        </w:rPr>
        <w:t>կամ</w:t>
      </w:r>
      <w:proofErr w:type="spellEnd"/>
      <w:r w:rsidRPr="00CE46ED">
        <w:rPr>
          <w:rFonts w:ascii="Sylfaen" w:eastAsia="Calibri" w:hAnsi="Sylfaen" w:cs="Calibri"/>
          <w:color w:val="3E003F"/>
          <w:sz w:val="18"/>
          <w:szCs w:val="18"/>
        </w:rPr>
        <w:t xml:space="preserve"> </w:t>
      </w:r>
      <w:hyperlink r:id="rId8">
        <w:r w:rsidRPr="00CE46ED">
          <w:rPr>
            <w:rFonts w:ascii="Sylfaen" w:eastAsia="Calibri" w:hAnsi="Sylfaen" w:cs="Calibri"/>
            <w:color w:val="0563C1"/>
            <w:sz w:val="18"/>
            <w:szCs w:val="18"/>
            <w:u w:val="single"/>
          </w:rPr>
          <w:t>FAO-newsroom@fao.org</w:t>
        </w:r>
      </w:hyperlink>
      <w:r w:rsidRPr="00CE46ED">
        <w:rPr>
          <w:rFonts w:ascii="Sylfaen" w:eastAsia="Calibri" w:hAnsi="Sylfaen" w:cs="Calibri"/>
          <w:color w:val="3E003F"/>
          <w:sz w:val="18"/>
          <w:szCs w:val="18"/>
        </w:rPr>
        <w:t>.</w:t>
      </w:r>
    </w:p>
    <w:bookmarkEnd w:id="1"/>
    <w:p w14:paraId="373C949D" w14:textId="77777777" w:rsidR="003F145C" w:rsidRPr="00CE46ED" w:rsidRDefault="003F145C" w:rsidP="00964648">
      <w:pPr>
        <w:ind w:left="142"/>
        <w:rPr>
          <w:rFonts w:ascii="Sylfaen" w:hAnsi="Sylfaen"/>
        </w:rPr>
      </w:pPr>
    </w:p>
    <w:p w14:paraId="2A1E1418" w14:textId="77777777" w:rsidR="003F145C" w:rsidRPr="00CE46ED" w:rsidRDefault="00027D2C" w:rsidP="00964648">
      <w:pPr>
        <w:ind w:left="142"/>
        <w:rPr>
          <w:rFonts w:ascii="Sylfaen" w:hAnsi="Sylfaen"/>
        </w:rPr>
      </w:pPr>
      <w:proofErr w:type="spellStart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>Առցանց</w:t>
      </w:r>
      <w:proofErr w:type="spellEnd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>ներկայացվածություն</w:t>
      </w:r>
      <w:proofErr w:type="spellEnd"/>
      <w:r w:rsidRPr="00CE46ED">
        <w:rPr>
          <w:rFonts w:ascii="Sylfaen" w:eastAsia="Merriweather" w:hAnsi="Sylfaen" w:cs="Merriweather"/>
          <w:b/>
          <w:color w:val="1A1A1A"/>
          <w:sz w:val="18"/>
          <w:szCs w:val="18"/>
        </w:rPr>
        <w:t>՝</w:t>
      </w:r>
    </w:p>
    <w:p w14:paraId="5EF59404" w14:textId="77777777" w:rsidR="003F145C" w:rsidRPr="00CE46ED" w:rsidRDefault="00027D2C" w:rsidP="00964648">
      <w:pPr>
        <w:ind w:left="142"/>
        <w:rPr>
          <w:rFonts w:ascii="Sylfaen" w:hAnsi="Sylfaen"/>
        </w:rPr>
      </w:pPr>
      <w:proofErr w:type="spellStart"/>
      <w:r w:rsidRPr="00CE46ED">
        <w:rPr>
          <w:rFonts w:ascii="Sylfaen" w:eastAsia="Merriweather" w:hAnsi="Sylfaen" w:cs="Merriweather"/>
          <w:sz w:val="18"/>
          <w:szCs w:val="18"/>
        </w:rPr>
        <w:t>Լուսանկարներ</w:t>
      </w:r>
      <w:proofErr w:type="spellEnd"/>
      <w:r w:rsidRPr="00CE46ED">
        <w:rPr>
          <w:rFonts w:ascii="Sylfaen" w:eastAsia="Merriweather" w:hAnsi="Sylfaen" w:cs="Merriweather"/>
          <w:sz w:val="18"/>
          <w:szCs w:val="18"/>
        </w:rPr>
        <w:t>՝</w:t>
      </w:r>
      <w:r w:rsidRPr="00CE46ED">
        <w:rPr>
          <w:rFonts w:ascii="Sylfaen" w:eastAsia="Calibri" w:hAnsi="Sylfaen" w:cs="Calibri"/>
          <w:sz w:val="18"/>
          <w:szCs w:val="18"/>
        </w:rPr>
        <w:t xml:space="preserve"> </w:t>
      </w:r>
      <w:r w:rsidRPr="00CE46ED">
        <w:rPr>
          <w:rFonts w:ascii="Sylfaen" w:eastAsia="Merriweather" w:hAnsi="Sylfaen" w:cs="Merriweather"/>
          <w:sz w:val="18"/>
          <w:szCs w:val="18"/>
        </w:rPr>
        <w:t xml:space="preserve">ՊԳԿ-ի </w:t>
      </w:r>
      <w:hyperlink r:id="rId9">
        <w:r w:rsidRPr="00CE46ED">
          <w:rPr>
            <w:rFonts w:ascii="Sylfaen" w:eastAsia="Calibri" w:hAnsi="Sylfaen" w:cs="Calibri"/>
            <w:sz w:val="18"/>
            <w:szCs w:val="18"/>
            <w:u w:val="single"/>
          </w:rPr>
          <w:t>Flickr</w:t>
        </w:r>
      </w:hyperlink>
      <w:hyperlink r:id="rId10"/>
    </w:p>
    <w:p w14:paraId="0E3C393E" w14:textId="7676C458" w:rsidR="003F145C" w:rsidRPr="00CE46ED" w:rsidRDefault="00027D2C" w:rsidP="00964648">
      <w:pPr>
        <w:ind w:left="142"/>
        <w:rPr>
          <w:rFonts w:ascii="Sylfaen" w:hAnsi="Sylfaen"/>
        </w:rPr>
      </w:pPr>
      <w:r w:rsidRPr="00CE46ED">
        <w:rPr>
          <w:rFonts w:ascii="Sylfaen" w:eastAsia="Merriweather" w:hAnsi="Sylfaen" w:cs="Merriweather"/>
          <w:sz w:val="18"/>
          <w:szCs w:val="18"/>
        </w:rPr>
        <w:t xml:space="preserve">ՊԳԿ-ի </w:t>
      </w:r>
      <w:hyperlink r:id="rId11" w:history="1">
        <w:proofErr w:type="spellStart"/>
        <w:r w:rsidRPr="00CE46ED">
          <w:rPr>
            <w:rStyle w:val="Hyperlink"/>
            <w:rFonts w:ascii="Sylfaen" w:eastAsia="Merriweather" w:hAnsi="Sylfaen" w:cs="Times New Roman"/>
            <w:sz w:val="18"/>
            <w:szCs w:val="18"/>
          </w:rPr>
          <w:t>լուրեր</w:t>
        </w:r>
        <w:proofErr w:type="spellEnd"/>
        <w:r w:rsidRPr="00CE46ED">
          <w:rPr>
            <w:rStyle w:val="Hyperlink"/>
            <w:rFonts w:ascii="Sylfaen" w:eastAsia="Merriweather" w:hAnsi="Sylfaen" w:cs="Merriweather"/>
            <w:sz w:val="18"/>
            <w:szCs w:val="18"/>
          </w:rPr>
          <w:t xml:space="preserve"> </w:t>
        </w:r>
        <w:proofErr w:type="spellStart"/>
        <w:r w:rsidRPr="00CE46ED">
          <w:rPr>
            <w:rStyle w:val="Hyperlink"/>
            <w:rFonts w:ascii="Sylfaen" w:eastAsia="Merriweather" w:hAnsi="Sylfaen" w:cs="Times New Roman"/>
            <w:sz w:val="18"/>
            <w:szCs w:val="18"/>
          </w:rPr>
          <w:t>առցանց</w:t>
        </w:r>
        <w:proofErr w:type="spellEnd"/>
        <w:r w:rsidRPr="00CE46ED">
          <w:rPr>
            <w:rStyle w:val="Hyperlink"/>
            <w:rFonts w:ascii="Sylfaen" w:eastAsia="Merriweather" w:hAnsi="Sylfaen" w:cs="Merriweather"/>
            <w:sz w:val="18"/>
            <w:szCs w:val="18"/>
            <w:lang w:val="hy-AM"/>
          </w:rPr>
          <w:t xml:space="preserve"> </w:t>
        </w:r>
      </w:hyperlink>
      <w:r w:rsidRPr="00CE46ED">
        <w:rPr>
          <w:rFonts w:ascii="Sylfaen" w:eastAsia="Merriweather" w:hAnsi="Sylfaen" w:cs="Merriweather"/>
          <w:sz w:val="18"/>
          <w:szCs w:val="18"/>
        </w:rPr>
        <w:t xml:space="preserve"> </w:t>
      </w:r>
    </w:p>
    <w:p w14:paraId="376CC68E" w14:textId="66CD35EF" w:rsidR="003F145C" w:rsidRPr="00CE46ED" w:rsidRDefault="00027D2C" w:rsidP="00964648">
      <w:pPr>
        <w:ind w:left="142"/>
        <w:rPr>
          <w:rFonts w:ascii="Sylfaen" w:hAnsi="Sylfaen"/>
        </w:rPr>
      </w:pPr>
      <w:r w:rsidRPr="00CE46ED">
        <w:rPr>
          <w:rFonts w:ascii="Sylfaen" w:eastAsia="Merriweather" w:hAnsi="Sylfaen" w:cs="Merriweather"/>
          <w:sz w:val="18"/>
          <w:szCs w:val="18"/>
        </w:rPr>
        <w:t>ՊԳԿ</w:t>
      </w:r>
      <w:r w:rsidRPr="00CE46ED">
        <w:rPr>
          <w:rFonts w:ascii="Sylfaen" w:eastAsia="Calibri" w:hAnsi="Sylfaen" w:cs="Calibri"/>
          <w:sz w:val="18"/>
          <w:szCs w:val="18"/>
        </w:rPr>
        <w:t>-</w:t>
      </w:r>
      <w:r w:rsidRPr="00CE46ED">
        <w:rPr>
          <w:rFonts w:ascii="Sylfaen" w:eastAsia="Merriweather" w:hAnsi="Sylfaen" w:cs="Merriweather"/>
          <w:sz w:val="18"/>
          <w:szCs w:val="18"/>
        </w:rPr>
        <w:t>ի</w:t>
      </w:r>
      <w:r w:rsidRPr="00CE46ED">
        <w:rPr>
          <w:rFonts w:ascii="Sylfaen" w:eastAsia="Calibri" w:hAnsi="Sylfaen" w:cs="Calibri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sz w:val="18"/>
          <w:szCs w:val="18"/>
        </w:rPr>
        <w:t>մամուլի</w:t>
      </w:r>
      <w:proofErr w:type="spellEnd"/>
      <w:r w:rsidRPr="00CE46ED">
        <w:rPr>
          <w:rFonts w:ascii="Sylfaen" w:eastAsia="Calibri" w:hAnsi="Sylfaen" w:cs="Calibri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sz w:val="18"/>
          <w:szCs w:val="18"/>
        </w:rPr>
        <w:t>հաղորդագրությունների</w:t>
      </w:r>
      <w:proofErr w:type="spellEnd"/>
      <w:r w:rsidRPr="00CE46ED">
        <w:rPr>
          <w:rFonts w:ascii="Sylfaen" w:eastAsia="Calibri" w:hAnsi="Sylfaen" w:cs="Calibri"/>
          <w:sz w:val="18"/>
          <w:szCs w:val="18"/>
        </w:rPr>
        <w:t xml:space="preserve"> </w:t>
      </w:r>
      <w:hyperlink r:id="rId12" w:history="1">
        <w:r w:rsidRPr="00CE46ED">
          <w:rPr>
            <w:rStyle w:val="Hyperlink"/>
            <w:rFonts w:ascii="Sylfaen" w:eastAsia="Calibri" w:hAnsi="Sylfaen" w:cs="Calibri"/>
            <w:sz w:val="18"/>
            <w:szCs w:val="18"/>
          </w:rPr>
          <w:t>RSS feed</w:t>
        </w:r>
      </w:hyperlink>
      <w:r w:rsidRPr="00CE46ED">
        <w:rPr>
          <w:rFonts w:ascii="Sylfaen" w:eastAsia="Calibri" w:hAnsi="Sylfaen" w:cs="Calibri"/>
          <w:sz w:val="18"/>
          <w:szCs w:val="18"/>
        </w:rPr>
        <w:t xml:space="preserve"> </w:t>
      </w:r>
    </w:p>
    <w:p w14:paraId="630A16EA" w14:textId="77777777" w:rsidR="003F145C" w:rsidRPr="00CE46ED" w:rsidRDefault="00964648" w:rsidP="00964648">
      <w:pPr>
        <w:ind w:left="142"/>
        <w:rPr>
          <w:rFonts w:ascii="Sylfaen" w:hAnsi="Sylfaen"/>
        </w:rPr>
      </w:pPr>
      <w:hyperlink r:id="rId13">
        <w:r w:rsidR="00027D2C" w:rsidRPr="00CE46ED">
          <w:rPr>
            <w:rFonts w:ascii="Sylfaen" w:eastAsia="Calibri" w:hAnsi="Sylfaen" w:cs="Calibri"/>
            <w:sz w:val="18"/>
            <w:szCs w:val="18"/>
            <w:u w:val="single"/>
          </w:rPr>
          <w:t>@</w:t>
        </w:r>
        <w:proofErr w:type="spellStart"/>
        <w:r w:rsidR="00027D2C" w:rsidRPr="00CE46ED">
          <w:rPr>
            <w:rFonts w:ascii="Sylfaen" w:eastAsia="Calibri" w:hAnsi="Sylfaen" w:cs="Calibri"/>
            <w:sz w:val="18"/>
            <w:szCs w:val="18"/>
            <w:u w:val="single"/>
          </w:rPr>
          <w:t>FAOnews</w:t>
        </w:r>
        <w:proofErr w:type="spellEnd"/>
        <w:r w:rsidR="00027D2C" w:rsidRPr="00CE46ED">
          <w:rPr>
            <w:rFonts w:ascii="Sylfaen" w:eastAsia="Calibri" w:hAnsi="Sylfaen" w:cs="Calibri"/>
            <w:sz w:val="18"/>
            <w:szCs w:val="18"/>
            <w:u w:val="single"/>
          </w:rPr>
          <w:t xml:space="preserve"> Twitter</w:t>
        </w:r>
      </w:hyperlink>
      <w:r w:rsidR="00027D2C" w:rsidRPr="00CE46ED">
        <w:rPr>
          <w:rFonts w:ascii="Sylfaen" w:eastAsia="Merriweather" w:hAnsi="Sylfaen" w:cs="Merriweather"/>
          <w:sz w:val="18"/>
          <w:szCs w:val="18"/>
          <w:u w:val="single"/>
        </w:rPr>
        <w:t>-</w:t>
      </w:r>
      <w:proofErr w:type="spellStart"/>
      <w:r w:rsidR="00027D2C" w:rsidRPr="00CE46ED">
        <w:rPr>
          <w:rFonts w:ascii="Sylfaen" w:eastAsia="Merriweather" w:hAnsi="Sylfaen" w:cs="Merriweather"/>
          <w:sz w:val="18"/>
          <w:szCs w:val="18"/>
          <w:u w:val="single"/>
        </w:rPr>
        <w:t>ում</w:t>
      </w:r>
      <w:proofErr w:type="spellEnd"/>
    </w:p>
    <w:p w14:paraId="151E0D57" w14:textId="77777777" w:rsidR="003F145C" w:rsidRPr="00CE46ED" w:rsidRDefault="003F145C" w:rsidP="00964648">
      <w:pPr>
        <w:ind w:left="142"/>
        <w:rPr>
          <w:rFonts w:ascii="Sylfaen" w:hAnsi="Sylfaen"/>
        </w:rPr>
      </w:pPr>
    </w:p>
    <w:p w14:paraId="3CF27F86" w14:textId="77777777" w:rsidR="003F145C" w:rsidRPr="00CE46ED" w:rsidRDefault="00027D2C" w:rsidP="00964648">
      <w:pPr>
        <w:widowControl w:val="0"/>
        <w:ind w:left="142"/>
        <w:rPr>
          <w:rFonts w:ascii="Sylfaen" w:hAnsi="Sylfaen"/>
        </w:rPr>
      </w:pPr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 xml:space="preserve">ՊԳԿ-ի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Եվրոպայի</w:t>
      </w:r>
      <w:proofErr w:type="spellEnd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 xml:space="preserve"> և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Կենտրոնական</w:t>
      </w:r>
      <w:proofErr w:type="spellEnd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Ասիայի</w:t>
      </w:r>
      <w:proofErr w:type="spellEnd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տարածաշրջանային</w:t>
      </w:r>
      <w:proofErr w:type="spellEnd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 xml:space="preserve">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գրասենյակ</w:t>
      </w:r>
      <w:proofErr w:type="spellEnd"/>
      <w:r w:rsidRPr="00CE46ED">
        <w:rPr>
          <w:rFonts w:ascii="Sylfaen" w:eastAsia="Calibri" w:hAnsi="Sylfaen" w:cs="Calibri"/>
          <w:b/>
          <w:color w:val="6C6C6C"/>
          <w:sz w:val="18"/>
          <w:szCs w:val="18"/>
        </w:rPr>
        <w:t xml:space="preserve"> |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Բենցվուրի</w:t>
      </w:r>
      <w:proofErr w:type="spellEnd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 xml:space="preserve"> 3</w:t>
      </w:r>
      <w:r w:rsidRPr="00CE46ED">
        <w:rPr>
          <w:rFonts w:ascii="Sylfaen" w:eastAsia="Calibri" w:hAnsi="Sylfaen" w:cs="Calibri"/>
          <w:b/>
          <w:color w:val="6C6C6C"/>
          <w:sz w:val="18"/>
          <w:szCs w:val="18"/>
        </w:rPr>
        <w:t xml:space="preserve">4,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Բուդապեշտ</w:t>
      </w:r>
      <w:proofErr w:type="spellEnd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 xml:space="preserve">, </w:t>
      </w:r>
      <w:proofErr w:type="spellStart"/>
      <w:r w:rsidRPr="00CE46ED">
        <w:rPr>
          <w:rFonts w:ascii="Sylfaen" w:eastAsia="Merriweather" w:hAnsi="Sylfaen" w:cs="Merriweather"/>
          <w:b/>
          <w:color w:val="6C6C6C"/>
          <w:sz w:val="18"/>
          <w:szCs w:val="18"/>
        </w:rPr>
        <w:t>Հունգարիա</w:t>
      </w:r>
      <w:proofErr w:type="spellEnd"/>
      <w:r w:rsidRPr="00CE46ED">
        <w:rPr>
          <w:rFonts w:ascii="Sylfaen" w:eastAsia="Calibri" w:hAnsi="Sylfaen" w:cs="Calibri"/>
          <w:b/>
          <w:color w:val="6C6C6C"/>
          <w:sz w:val="18"/>
          <w:szCs w:val="18"/>
        </w:rPr>
        <w:t xml:space="preserve"> | </w:t>
      </w:r>
      <w:r w:rsidRPr="00CE46ED">
        <w:rPr>
          <w:rFonts w:ascii="Sylfaen" w:eastAsia="Calibri" w:hAnsi="Sylfaen" w:cs="Calibri"/>
          <w:b/>
          <w:color w:val="6C6C6C"/>
          <w:sz w:val="18"/>
          <w:szCs w:val="18"/>
          <w:u w:val="single"/>
        </w:rPr>
        <w:t>(+36) 1 461 2000</w:t>
      </w:r>
      <w:r w:rsidRPr="00CE46ED">
        <w:rPr>
          <w:rFonts w:ascii="Sylfaen" w:eastAsia="Calibri" w:hAnsi="Sylfaen" w:cs="Calibri"/>
          <w:b/>
          <w:color w:val="6C6C6C"/>
          <w:sz w:val="18"/>
          <w:szCs w:val="18"/>
        </w:rPr>
        <w:t xml:space="preserve"> | </w:t>
      </w:r>
      <w:hyperlink r:id="rId14">
        <w:r w:rsidRPr="00CE46ED">
          <w:rPr>
            <w:rFonts w:ascii="Sylfaen" w:eastAsia="Calibri" w:hAnsi="Sylfaen" w:cs="Calibri"/>
            <w:b/>
            <w:color w:val="6C6C6C"/>
            <w:sz w:val="18"/>
            <w:szCs w:val="18"/>
            <w:u w:val="single"/>
          </w:rPr>
          <w:t>www.fao.org/europe</w:t>
        </w:r>
      </w:hyperlink>
      <w:hyperlink r:id="rId15"/>
    </w:p>
    <w:sectPr w:rsidR="003F145C" w:rsidRPr="00CE46ED"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145C"/>
    <w:rsid w:val="00027D2C"/>
    <w:rsid w:val="00310148"/>
    <w:rsid w:val="003F145C"/>
    <w:rsid w:val="00964648"/>
    <w:rsid w:val="00CE46ED"/>
    <w:rsid w:val="00ED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297C"/>
  <w15:docId w15:val="{938511AD-55A6-4108-8BF3-362F1017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D31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O-newsroom@fao.org" TargetMode="External"/><Relationship Id="rId13" Type="http://schemas.openxmlformats.org/officeDocument/2006/relationships/hyperlink" Target="https://twitter.com/faone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4060/cb3673en" TargetMode="External"/><Relationship Id="rId12" Type="http://schemas.openxmlformats.org/officeDocument/2006/relationships/hyperlink" Target="http://www.fao.org/news/rss-feed/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71BED.332E2420" TargetMode="External"/><Relationship Id="rId11" Type="http://schemas.openxmlformats.org/officeDocument/2006/relationships/hyperlink" Target="http://www.fao.org/news/en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/h" TargetMode="External"/><Relationship Id="rId10" Type="http://schemas.openxmlformats.org/officeDocument/2006/relationships/hyperlink" Target="http:///h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lickr.com/photos/faonews" TargetMode="External"/><Relationship Id="rId14" Type="http://schemas.openxmlformats.org/officeDocument/2006/relationships/hyperlink" Target="http:///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Mariam Alikhanova</cp:lastModifiedBy>
  <cp:revision>7</cp:revision>
  <dcterms:created xsi:type="dcterms:W3CDTF">2021-03-18T19:17:00Z</dcterms:created>
  <dcterms:modified xsi:type="dcterms:W3CDTF">2021-03-19T12:12:00Z</dcterms:modified>
</cp:coreProperties>
</file>